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both"/>
        <w:rPr>
          <w:rFonts w:hint="eastAsia" w:ascii="楷体" w:hAnsi="楷体" w:eastAsia="楷体"/>
          <w:b/>
          <w:sz w:val="72"/>
          <w:szCs w:val="72"/>
        </w:rPr>
      </w:pPr>
      <w:bookmarkStart w:id="0" w:name="_Hlk87782635"/>
    </w:p>
    <w:p>
      <w:pPr>
        <w:widowControl/>
        <w:jc w:val="center"/>
        <w:rPr>
          <w:rFonts w:ascii="楷体" w:hAnsi="楷体" w:eastAsia="楷体"/>
          <w:sz w:val="36"/>
          <w:szCs w:val="36"/>
        </w:rPr>
      </w:pPr>
      <w:r>
        <w:rPr>
          <w:rFonts w:hint="eastAsia" w:ascii="楷体" w:hAnsi="楷体" w:eastAsia="楷体"/>
          <w:b/>
          <w:sz w:val="72"/>
          <w:szCs w:val="72"/>
        </w:rPr>
        <w:t>社会责任报告</w:t>
      </w:r>
    </w:p>
    <w:p>
      <w:pPr>
        <w:pStyle w:val="19"/>
        <w:spacing w:line="360" w:lineRule="auto"/>
        <w:jc w:val="center"/>
      </w:pPr>
    </w:p>
    <w:p>
      <w:pPr>
        <w:pStyle w:val="19"/>
        <w:spacing w:line="360" w:lineRule="auto"/>
        <w:rPr>
          <w:rFonts w:hint="eastAsia" w:ascii="楷体" w:hAnsi="楷体" w:eastAsia="楷体"/>
          <w:sz w:val="36"/>
          <w:szCs w:val="36"/>
          <w:lang w:eastAsia="zh-CN"/>
        </w:rPr>
      </w:pPr>
      <w:r>
        <w:rPr>
          <w:rFonts w:hint="eastAsia" w:ascii="楷体" w:hAnsi="楷体" w:eastAsia="楷体"/>
          <w:sz w:val="36"/>
          <w:szCs w:val="36"/>
          <w:lang w:eastAsia="zh-CN"/>
        </w:rPr>
        <w:drawing>
          <wp:inline distT="0" distB="0" distL="114300" distR="114300">
            <wp:extent cx="5273040" cy="5178425"/>
            <wp:effectExtent l="0" t="0" r="3810" b="3175"/>
            <wp:docPr id="3" name="图片 3" descr="b13befc125949cb7ffcb89ab0fdc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13befc125949cb7ffcb89ab0fdc98e"/>
                    <pic:cNvPicPr>
                      <a:picLocks noChangeAspect="1"/>
                    </pic:cNvPicPr>
                  </pic:nvPicPr>
                  <pic:blipFill>
                    <a:blip r:embed="rId6"/>
                    <a:stretch>
                      <a:fillRect/>
                    </a:stretch>
                  </pic:blipFill>
                  <pic:spPr>
                    <a:xfrm>
                      <a:off x="0" y="0"/>
                      <a:ext cx="5273040" cy="5178425"/>
                    </a:xfrm>
                    <a:prstGeom prst="rect">
                      <a:avLst/>
                    </a:prstGeom>
                  </pic:spPr>
                </pic:pic>
              </a:graphicData>
            </a:graphic>
          </wp:inline>
        </w:drawing>
      </w:r>
    </w:p>
    <w:p>
      <w:pPr>
        <w:spacing w:line="520" w:lineRule="exact"/>
        <w:jc w:val="center"/>
        <w:rPr>
          <w:rFonts w:ascii="黑体" w:hAnsi="黑体" w:eastAsia="黑体" w:cs="Arial"/>
          <w:b/>
          <w:sz w:val="44"/>
          <w:szCs w:val="44"/>
        </w:rPr>
      </w:pPr>
    </w:p>
    <w:p>
      <w:pPr>
        <w:spacing w:line="520" w:lineRule="exact"/>
        <w:jc w:val="center"/>
        <w:rPr>
          <w:rFonts w:ascii="黑体" w:hAnsi="黑体" w:eastAsia="黑体" w:cs="Arial"/>
          <w:b/>
          <w:sz w:val="44"/>
          <w:szCs w:val="44"/>
        </w:rPr>
      </w:pPr>
      <w:r>
        <w:rPr>
          <w:rFonts w:hint="eastAsia" w:ascii="黑体" w:hAnsi="黑体" w:eastAsia="黑体" w:cs="Arial"/>
          <w:b/>
          <w:sz w:val="44"/>
          <w:szCs w:val="44"/>
        </w:rPr>
        <w:t>浙江南泵流体机械有限公司</w:t>
      </w:r>
    </w:p>
    <w:p>
      <w:pPr>
        <w:spacing w:line="520" w:lineRule="exact"/>
        <w:jc w:val="center"/>
        <w:rPr>
          <w:rFonts w:ascii="黑体" w:hAnsi="黑体" w:eastAsia="黑体" w:cs="Arial"/>
          <w:color w:val="000000" w:themeColor="text1"/>
          <w:sz w:val="30"/>
          <w:szCs w:val="30"/>
        </w:rPr>
      </w:pPr>
      <w:r>
        <w:rPr>
          <w:rFonts w:hint="eastAsia" w:ascii="黑体" w:hAnsi="黑体" w:eastAsia="黑体" w:cs="Arial"/>
          <w:color w:val="000000" w:themeColor="text1"/>
          <w:sz w:val="30"/>
          <w:szCs w:val="30"/>
        </w:rPr>
        <w:t>202</w:t>
      </w:r>
      <w:r>
        <w:rPr>
          <w:rFonts w:ascii="黑体" w:hAnsi="黑体" w:eastAsia="黑体" w:cs="Arial"/>
          <w:color w:val="000000" w:themeColor="text1"/>
          <w:sz w:val="30"/>
          <w:szCs w:val="30"/>
        </w:rPr>
        <w:t>3</w:t>
      </w:r>
      <w:r>
        <w:rPr>
          <w:rFonts w:hint="eastAsia" w:ascii="黑体" w:hAnsi="黑体" w:eastAsia="黑体" w:cs="Arial"/>
          <w:color w:val="000000" w:themeColor="text1"/>
          <w:sz w:val="30"/>
          <w:szCs w:val="30"/>
        </w:rPr>
        <w:t>年</w:t>
      </w:r>
      <w:r>
        <w:rPr>
          <w:rFonts w:ascii="黑体" w:hAnsi="黑体" w:eastAsia="黑体" w:cs="Arial"/>
          <w:color w:val="000000" w:themeColor="text1"/>
          <w:sz w:val="30"/>
          <w:szCs w:val="30"/>
        </w:rPr>
        <w:t>5</w:t>
      </w:r>
      <w:r>
        <w:rPr>
          <w:rFonts w:hint="eastAsia" w:ascii="黑体" w:hAnsi="黑体" w:eastAsia="黑体" w:cs="Arial"/>
          <w:color w:val="000000" w:themeColor="text1"/>
          <w:sz w:val="30"/>
          <w:szCs w:val="30"/>
        </w:rPr>
        <w:t>月</w:t>
      </w:r>
      <w:bookmarkEnd w:id="0"/>
    </w:p>
    <w:p>
      <w:pPr>
        <w:spacing w:line="520" w:lineRule="exact"/>
        <w:jc w:val="both"/>
        <w:rPr>
          <w:rFonts w:ascii="黑体" w:hAnsi="黑体" w:eastAsia="黑体" w:cs="Arial"/>
          <w:color w:val="000000" w:themeColor="text1"/>
          <w:sz w:val="30"/>
          <w:szCs w:val="30"/>
        </w:rPr>
      </w:pPr>
    </w:p>
    <w:sdt>
      <w:sdtPr>
        <w:rPr>
          <w:rFonts w:asciiTheme="minorHAnsi" w:hAnsiTheme="minorHAnsi" w:eastAsiaTheme="minorEastAsia" w:cstheme="minorBidi"/>
          <w:b/>
          <w:bCs/>
          <w:color w:val="auto"/>
          <w:kern w:val="2"/>
          <w:sz w:val="21"/>
          <w:szCs w:val="22"/>
          <w:lang w:val="zh-CN"/>
        </w:rPr>
        <w:id w:val="2040010563"/>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6"/>
            <w:spacing w:after="156" w:afterLines="50"/>
            <w:jc w:val="center"/>
            <w:rPr>
              <w:b/>
              <w:bCs/>
              <w:color w:val="auto"/>
              <w:sz w:val="40"/>
              <w:szCs w:val="44"/>
            </w:rPr>
          </w:pPr>
          <w:r>
            <w:rPr>
              <w:b/>
              <w:bCs/>
              <w:color w:val="auto"/>
              <w:sz w:val="40"/>
              <w:szCs w:val="44"/>
              <w:lang w:val="zh-CN"/>
            </w:rPr>
            <w:t>目录</w:t>
          </w:r>
        </w:p>
        <w:p>
          <w:pPr>
            <w:pStyle w:val="7"/>
            <w:tabs>
              <w:tab w:val="right" w:leader="dot" w:pos="8296"/>
            </w:tabs>
            <w:spacing w:line="360" w:lineRule="auto"/>
            <w:rPr>
              <w:rFonts w:asciiTheme="minorEastAsia" w:hAnsiTheme="minorEastAsia" w:cstheme="minorEastAsia"/>
              <w:b/>
              <w:bCs/>
            </w:rPr>
          </w:pPr>
          <w:r>
            <w:fldChar w:fldCharType="begin"/>
          </w:r>
          <w:r>
            <w:instrText xml:space="preserve"> TOC \o "1-3" \h \z \u </w:instrText>
          </w:r>
          <w:r>
            <w:fldChar w:fldCharType="separate"/>
          </w:r>
          <w:r>
            <w:fldChar w:fldCharType="begin"/>
          </w:r>
          <w:r>
            <w:instrText xml:space="preserve"> HYPERLINK \l "_Toc60053194" </w:instrText>
          </w:r>
          <w:r>
            <w:fldChar w:fldCharType="separate"/>
          </w:r>
          <w:r>
            <w:rPr>
              <w:rStyle w:val="11"/>
              <w:rFonts w:hint="eastAsia" w:asciiTheme="minorEastAsia" w:hAnsiTheme="minorEastAsia" w:cstheme="minorEastAsia"/>
              <w:b/>
              <w:bCs/>
              <w:kern w:val="0"/>
            </w:rPr>
            <w:t>郑重声明</w:t>
          </w:r>
          <w:r>
            <w:rPr>
              <w:rFonts w:hint="eastAsia" w:asciiTheme="minorEastAsia" w:hAnsiTheme="minorEastAsia" w:cstheme="minorEastAsia"/>
              <w:b/>
              <w:bCs/>
            </w:rPr>
            <w:tab/>
          </w:r>
          <w:r>
            <w:rPr>
              <w:rFonts w:hint="eastAsia" w:asciiTheme="minorEastAsia" w:hAnsiTheme="minorEastAsia" w:cstheme="minorEastAsia"/>
              <w:b/>
              <w:bCs/>
            </w:rPr>
            <w:fldChar w:fldCharType="begin"/>
          </w:r>
          <w:r>
            <w:rPr>
              <w:rFonts w:hint="eastAsia" w:asciiTheme="minorEastAsia" w:hAnsiTheme="minorEastAsia" w:cstheme="minorEastAsia"/>
              <w:b/>
              <w:bCs/>
            </w:rPr>
            <w:instrText xml:space="preserve"> PAGEREF _Toc60053194 \h </w:instrText>
          </w:r>
          <w:r>
            <w:rPr>
              <w:rFonts w:hint="eastAsia" w:asciiTheme="minorEastAsia" w:hAnsiTheme="minorEastAsia" w:cstheme="minorEastAsia"/>
              <w:b/>
              <w:bCs/>
            </w:rPr>
            <w:fldChar w:fldCharType="separate"/>
          </w:r>
          <w:r>
            <w:rPr>
              <w:rFonts w:asciiTheme="minorEastAsia" w:hAnsiTheme="minorEastAsia" w:cstheme="minorEastAsia"/>
              <w:b/>
              <w:bCs/>
            </w:rPr>
            <w:t>3</w:t>
          </w:r>
          <w:r>
            <w:rPr>
              <w:rFonts w:hint="eastAsia" w:asciiTheme="minorEastAsia" w:hAnsiTheme="minorEastAsia" w:cstheme="minorEastAsia"/>
              <w:b/>
              <w:bCs/>
            </w:rPr>
            <w:fldChar w:fldCharType="end"/>
          </w:r>
          <w:r>
            <w:rPr>
              <w:rFonts w:hint="eastAsia" w:asciiTheme="minorEastAsia" w:hAnsiTheme="minorEastAsia" w:cstheme="minorEastAsia"/>
              <w:b/>
              <w:bCs/>
            </w:rPr>
            <w:fldChar w:fldCharType="end"/>
          </w:r>
        </w:p>
        <w:p>
          <w:pPr>
            <w:pStyle w:val="7"/>
            <w:tabs>
              <w:tab w:val="right" w:leader="dot" w:pos="8296"/>
            </w:tabs>
            <w:spacing w:line="360" w:lineRule="auto"/>
            <w:rPr>
              <w:rFonts w:asciiTheme="minorEastAsia" w:hAnsiTheme="minorEastAsia" w:cstheme="minorEastAsia"/>
              <w:b/>
              <w:bCs/>
            </w:rPr>
          </w:pPr>
          <w:r>
            <w:fldChar w:fldCharType="begin"/>
          </w:r>
          <w:r>
            <w:instrText xml:space="preserve"> HYPERLINK \l "_Toc60053195" </w:instrText>
          </w:r>
          <w:r>
            <w:fldChar w:fldCharType="separate"/>
          </w:r>
          <w:r>
            <w:rPr>
              <w:rStyle w:val="11"/>
              <w:rFonts w:hint="eastAsia" w:asciiTheme="minorEastAsia" w:hAnsiTheme="minorEastAsia" w:cstheme="minorEastAsia"/>
              <w:b/>
              <w:bCs/>
              <w:kern w:val="0"/>
            </w:rPr>
            <w:t>编制说明</w:t>
          </w:r>
          <w:r>
            <w:rPr>
              <w:rFonts w:hint="eastAsia" w:asciiTheme="minorEastAsia" w:hAnsiTheme="minorEastAsia" w:cstheme="minorEastAsia"/>
              <w:b/>
              <w:bCs/>
            </w:rPr>
            <w:tab/>
          </w:r>
          <w:r>
            <w:rPr>
              <w:rFonts w:hint="eastAsia" w:asciiTheme="minorEastAsia" w:hAnsiTheme="minorEastAsia" w:cstheme="minorEastAsia"/>
              <w:b/>
              <w:bCs/>
            </w:rPr>
            <w:fldChar w:fldCharType="begin"/>
          </w:r>
          <w:r>
            <w:rPr>
              <w:rFonts w:hint="eastAsia" w:asciiTheme="minorEastAsia" w:hAnsiTheme="minorEastAsia" w:cstheme="minorEastAsia"/>
              <w:b/>
              <w:bCs/>
            </w:rPr>
            <w:instrText xml:space="preserve"> PAGEREF _Toc60053195 \h </w:instrText>
          </w:r>
          <w:r>
            <w:rPr>
              <w:rFonts w:hint="eastAsia" w:asciiTheme="minorEastAsia" w:hAnsiTheme="minorEastAsia" w:cstheme="minorEastAsia"/>
              <w:b/>
              <w:bCs/>
            </w:rPr>
            <w:fldChar w:fldCharType="separate"/>
          </w:r>
          <w:r>
            <w:rPr>
              <w:rFonts w:asciiTheme="minorEastAsia" w:hAnsiTheme="minorEastAsia" w:cstheme="minorEastAsia"/>
              <w:b/>
              <w:bCs/>
            </w:rPr>
            <w:t>4</w:t>
          </w:r>
          <w:r>
            <w:rPr>
              <w:rFonts w:hint="eastAsia" w:asciiTheme="minorEastAsia" w:hAnsiTheme="minorEastAsia" w:cstheme="minorEastAsia"/>
              <w:b/>
              <w:bCs/>
            </w:rPr>
            <w:fldChar w:fldCharType="end"/>
          </w:r>
          <w:r>
            <w:rPr>
              <w:rFonts w:hint="eastAsia" w:asciiTheme="minorEastAsia" w:hAnsiTheme="minorEastAsia" w:cstheme="minorEastAsia"/>
              <w:b/>
              <w:bCs/>
            </w:rPr>
            <w:fldChar w:fldCharType="end"/>
          </w:r>
        </w:p>
        <w:p>
          <w:pPr>
            <w:pStyle w:val="7"/>
            <w:tabs>
              <w:tab w:val="right" w:leader="dot" w:pos="8296"/>
            </w:tabs>
            <w:spacing w:line="360" w:lineRule="auto"/>
            <w:rPr>
              <w:rFonts w:asciiTheme="minorEastAsia" w:hAnsiTheme="minorEastAsia" w:cstheme="minorEastAsia"/>
              <w:b/>
              <w:bCs/>
            </w:rPr>
          </w:pPr>
          <w:r>
            <w:fldChar w:fldCharType="begin"/>
          </w:r>
          <w:r>
            <w:instrText xml:space="preserve"> HYPERLINK \l "_Toc60053196" </w:instrText>
          </w:r>
          <w:r>
            <w:fldChar w:fldCharType="separate"/>
          </w:r>
          <w:r>
            <w:rPr>
              <w:rStyle w:val="11"/>
              <w:rFonts w:hint="eastAsia" w:asciiTheme="minorEastAsia" w:hAnsiTheme="minorEastAsia" w:cstheme="minorEastAsia"/>
              <w:b/>
              <w:bCs/>
              <w:kern w:val="0"/>
            </w:rPr>
            <w:t>企业简介</w:t>
          </w:r>
          <w:r>
            <w:rPr>
              <w:rFonts w:hint="eastAsia" w:asciiTheme="minorEastAsia" w:hAnsiTheme="minorEastAsia" w:cstheme="minorEastAsia"/>
              <w:b/>
              <w:bCs/>
            </w:rPr>
            <w:tab/>
          </w:r>
          <w:r>
            <w:rPr>
              <w:rFonts w:hint="eastAsia" w:asciiTheme="minorEastAsia" w:hAnsiTheme="minorEastAsia" w:cstheme="minorEastAsia"/>
              <w:b/>
              <w:bCs/>
            </w:rPr>
            <w:fldChar w:fldCharType="end"/>
          </w:r>
          <w:r>
            <w:rPr>
              <w:rFonts w:asciiTheme="minorEastAsia" w:hAnsiTheme="minorEastAsia" w:cstheme="minorEastAsia"/>
              <w:b/>
              <w:bCs/>
            </w:rPr>
            <w:t>5</w:t>
          </w:r>
        </w:p>
        <w:p>
          <w:pPr>
            <w:pStyle w:val="7"/>
            <w:tabs>
              <w:tab w:val="right" w:leader="dot" w:pos="8296"/>
            </w:tabs>
            <w:spacing w:line="360" w:lineRule="auto"/>
          </w:pPr>
          <w:r>
            <w:fldChar w:fldCharType="begin"/>
          </w:r>
          <w:r>
            <w:instrText xml:space="preserve"> HYPERLINK \l "_Toc60053197" </w:instrText>
          </w:r>
          <w:r>
            <w:fldChar w:fldCharType="separate"/>
          </w:r>
          <w:r>
            <w:rPr>
              <w:rStyle w:val="11"/>
              <w:rFonts w:hint="eastAsia" w:asciiTheme="minorEastAsia" w:hAnsiTheme="minorEastAsia" w:cstheme="minorEastAsia"/>
              <w:b/>
              <w:bCs/>
            </w:rPr>
            <w:t>社会责任履行情况</w:t>
          </w:r>
          <w:r>
            <w:rPr>
              <w:rFonts w:hint="eastAsia" w:asciiTheme="minorEastAsia" w:hAnsiTheme="minorEastAsia" w:cstheme="minorEastAsia"/>
              <w:b/>
              <w:bCs/>
            </w:rPr>
            <w:tab/>
          </w:r>
          <w:r>
            <w:rPr>
              <w:rFonts w:hint="eastAsia" w:asciiTheme="minorEastAsia" w:hAnsiTheme="minorEastAsia" w:cstheme="minorEastAsia"/>
              <w:b/>
              <w:bCs/>
            </w:rPr>
            <w:fldChar w:fldCharType="begin"/>
          </w:r>
          <w:r>
            <w:rPr>
              <w:rFonts w:hint="eastAsia" w:asciiTheme="minorEastAsia" w:hAnsiTheme="minorEastAsia" w:cstheme="minorEastAsia"/>
              <w:b/>
              <w:bCs/>
            </w:rPr>
            <w:instrText xml:space="preserve"> PAGEREF _Toc60053197 \h </w:instrText>
          </w:r>
          <w:r>
            <w:rPr>
              <w:rFonts w:hint="eastAsia" w:asciiTheme="minorEastAsia" w:hAnsiTheme="minorEastAsia" w:cstheme="minorEastAsia"/>
              <w:b/>
              <w:bCs/>
            </w:rPr>
            <w:fldChar w:fldCharType="separate"/>
          </w:r>
          <w:r>
            <w:rPr>
              <w:rFonts w:asciiTheme="minorEastAsia" w:hAnsiTheme="minorEastAsia" w:cstheme="minorEastAsia"/>
              <w:b/>
              <w:bCs/>
            </w:rPr>
            <w:t>5</w:t>
          </w:r>
          <w:r>
            <w:rPr>
              <w:rFonts w:hint="eastAsia" w:asciiTheme="minorEastAsia" w:hAnsiTheme="minorEastAsia" w:cstheme="minorEastAsia"/>
              <w:b/>
              <w:bCs/>
            </w:rPr>
            <w:fldChar w:fldCharType="end"/>
          </w:r>
          <w:r>
            <w:rPr>
              <w:rFonts w:hint="eastAsia" w:asciiTheme="minorEastAsia" w:hAnsiTheme="minorEastAsia" w:cstheme="minorEastAsia"/>
              <w:b/>
              <w:bCs/>
            </w:rPr>
            <w:fldChar w:fldCharType="end"/>
          </w:r>
        </w:p>
        <w:p>
          <w:pPr>
            <w:pStyle w:val="7"/>
            <w:tabs>
              <w:tab w:val="right" w:leader="dot" w:pos="8296"/>
            </w:tabs>
            <w:spacing w:line="360" w:lineRule="auto"/>
          </w:pPr>
          <w:r>
            <w:fldChar w:fldCharType="begin"/>
          </w:r>
          <w:r>
            <w:instrText xml:space="preserve"> HYPERLINK \l "_Toc60053198" </w:instrText>
          </w:r>
          <w:r>
            <w:fldChar w:fldCharType="separate"/>
          </w:r>
          <w:r>
            <w:rPr>
              <w:rStyle w:val="11"/>
              <w:rFonts w:hint="eastAsia"/>
              <w:b/>
            </w:rPr>
            <w:t>结语</w:t>
          </w:r>
          <w:r>
            <w:tab/>
          </w:r>
          <w:r>
            <w:fldChar w:fldCharType="begin"/>
          </w:r>
          <w:r>
            <w:instrText xml:space="preserve"> PAGEREF _Toc60053198 \h </w:instrText>
          </w:r>
          <w:r>
            <w:fldChar w:fldCharType="separate"/>
          </w:r>
          <w:r>
            <w:t>10</w:t>
          </w:r>
          <w:r>
            <w:fldChar w:fldCharType="end"/>
          </w:r>
          <w:r>
            <w:fldChar w:fldCharType="end"/>
          </w:r>
        </w:p>
        <w:p>
          <w:r>
            <w:rPr>
              <w:b/>
              <w:bCs/>
              <w:lang w:val="zh-CN"/>
            </w:rPr>
            <w:fldChar w:fldCharType="end"/>
          </w:r>
        </w:p>
      </w:sdtContent>
    </w:sdt>
    <w:p>
      <w:pPr>
        <w:spacing w:after="743" w:line="265" w:lineRule="auto"/>
        <w:ind w:left="135" w:hanging="10"/>
        <w:jc w:val="center"/>
        <w:rPr>
          <w:sz w:val="44"/>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jc w:val="center"/>
        <w:outlineLvl w:val="0"/>
        <w:rPr>
          <w:rFonts w:ascii="宋体" w:cs="宋体"/>
          <w:b/>
          <w:bCs/>
          <w:kern w:val="0"/>
          <w:sz w:val="48"/>
          <w:szCs w:val="48"/>
        </w:rPr>
      </w:pPr>
      <w:bookmarkStart w:id="1" w:name="_Toc60053194"/>
      <w:r>
        <w:rPr>
          <w:rFonts w:hint="eastAsia" w:ascii="黑体" w:eastAsia="黑体" w:cs="黑体"/>
          <w:b/>
          <w:bCs/>
          <w:kern w:val="0"/>
          <w:sz w:val="48"/>
          <w:szCs w:val="48"/>
        </w:rPr>
        <w:t>郑重声明</w:t>
      </w:r>
      <w:bookmarkEnd w:id="1"/>
    </w:p>
    <w:p>
      <w:pPr>
        <w:autoSpaceDE w:val="0"/>
        <w:autoSpaceDN w:val="0"/>
        <w:adjustRightInd w:val="0"/>
        <w:spacing w:line="520" w:lineRule="exact"/>
        <w:ind w:firstLine="560" w:firstLineChars="200"/>
        <w:jc w:val="left"/>
        <w:rPr>
          <w:rFonts w:ascii="宋体" w:cs="宋体"/>
          <w:kern w:val="0"/>
          <w:sz w:val="28"/>
          <w:szCs w:val="28"/>
        </w:rPr>
      </w:pPr>
    </w:p>
    <w:p>
      <w:pPr>
        <w:autoSpaceDE w:val="0"/>
        <w:autoSpaceDN w:val="0"/>
        <w:adjustRightInd w:val="0"/>
        <w:spacing w:line="520" w:lineRule="exact"/>
        <w:ind w:firstLine="560" w:firstLineChars="200"/>
        <w:jc w:val="left"/>
        <w:rPr>
          <w:rFonts w:ascii="宋体" w:cs="宋体"/>
          <w:kern w:val="0"/>
          <w:sz w:val="28"/>
          <w:szCs w:val="28"/>
        </w:rPr>
      </w:pPr>
      <w:r>
        <w:rPr>
          <w:rFonts w:hint="eastAsia" w:ascii="宋体" w:cs="宋体"/>
          <w:kern w:val="0"/>
          <w:sz w:val="28"/>
          <w:szCs w:val="28"/>
        </w:rPr>
        <w:t>本公司出具的社会责任报告，是依据国家有关质量法律、法规等进行撰写。报告中关于公司社会责任是公司现状的真实反映，本公司对报告内容的客观性负责，对相关论述和结论真实性和科学性负责。</w:t>
      </w:r>
    </w:p>
    <w:p>
      <w:pPr>
        <w:spacing w:line="520" w:lineRule="exact"/>
        <w:jc w:val="right"/>
        <w:rPr>
          <w:rFonts w:ascii="宋体" w:cs="宋体"/>
          <w:kern w:val="0"/>
          <w:sz w:val="28"/>
          <w:szCs w:val="28"/>
        </w:rPr>
      </w:pPr>
    </w:p>
    <w:p>
      <w:pPr>
        <w:spacing w:line="520" w:lineRule="exact"/>
        <w:jc w:val="right"/>
        <w:rPr>
          <w:rFonts w:ascii="宋体" w:cs="宋体"/>
          <w:b/>
          <w:kern w:val="0"/>
          <w:sz w:val="28"/>
          <w:szCs w:val="28"/>
        </w:rPr>
      </w:pPr>
      <w:r>
        <w:rPr>
          <w:rFonts w:hint="eastAsia" w:ascii="宋体" w:cs="宋体"/>
          <w:b/>
          <w:kern w:val="0"/>
          <w:sz w:val="28"/>
          <w:szCs w:val="28"/>
        </w:rPr>
        <w:t>浙江南泵流体机械有限公司</w:t>
      </w:r>
    </w:p>
    <w:p>
      <w:pPr>
        <w:spacing w:line="520" w:lineRule="exact"/>
        <w:jc w:val="right"/>
        <w:rPr>
          <w:rFonts w:ascii="宋体" w:cs="宋体"/>
          <w:b/>
          <w:kern w:val="0"/>
          <w:sz w:val="28"/>
          <w:szCs w:val="28"/>
        </w:rPr>
      </w:pPr>
      <w:r>
        <w:rPr>
          <w:rFonts w:hint="eastAsia" w:ascii="宋体" w:cs="宋体"/>
          <w:b/>
          <w:kern w:val="0"/>
          <w:sz w:val="28"/>
          <w:szCs w:val="28"/>
        </w:rPr>
        <w:t>2</w:t>
      </w:r>
      <w:r>
        <w:rPr>
          <w:rFonts w:ascii="宋体" w:cs="宋体"/>
          <w:b/>
          <w:kern w:val="0"/>
          <w:sz w:val="28"/>
          <w:szCs w:val="28"/>
        </w:rPr>
        <w:t>023</w:t>
      </w:r>
      <w:r>
        <w:rPr>
          <w:rFonts w:hint="eastAsia" w:ascii="宋体" w:cs="宋体"/>
          <w:b/>
          <w:kern w:val="0"/>
          <w:sz w:val="28"/>
          <w:szCs w:val="28"/>
        </w:rPr>
        <w:t>年</w:t>
      </w:r>
      <w:r>
        <w:rPr>
          <w:rFonts w:ascii="宋体" w:cs="宋体"/>
          <w:b/>
          <w:kern w:val="0"/>
          <w:sz w:val="28"/>
          <w:szCs w:val="28"/>
        </w:rPr>
        <w:t>5</w:t>
      </w:r>
      <w:r>
        <w:rPr>
          <w:rFonts w:hint="eastAsia" w:ascii="宋体" w:cs="宋体"/>
          <w:b/>
          <w:kern w:val="0"/>
          <w:sz w:val="28"/>
          <w:szCs w:val="28"/>
        </w:rPr>
        <w:t>月</w:t>
      </w:r>
      <w:r>
        <w:rPr>
          <w:rFonts w:ascii="宋体" w:cs="宋体"/>
          <w:b/>
          <w:kern w:val="0"/>
          <w:sz w:val="28"/>
          <w:szCs w:val="28"/>
        </w:rPr>
        <w:t>26</w:t>
      </w:r>
      <w:r>
        <w:rPr>
          <w:rFonts w:hint="eastAsia" w:ascii="宋体" w:cs="宋体"/>
          <w:b/>
          <w:kern w:val="0"/>
          <w:sz w:val="28"/>
          <w:szCs w:val="28"/>
        </w:rPr>
        <w:t>日</w:t>
      </w:r>
    </w:p>
    <w:p>
      <w:pPr>
        <w:spacing w:after="93" w:line="216" w:lineRule="auto"/>
        <w:ind w:left="2253" w:hanging="1815"/>
        <w:jc w:val="center"/>
        <w:rPr>
          <w:rFonts w:ascii="仿宋" w:hAnsi="仿宋" w:eastAsia="仿宋" w:cs="仿宋"/>
          <w:b/>
          <w:sz w:val="28"/>
        </w:rPr>
      </w:pPr>
      <w:r>
        <w:rPr>
          <w:rFonts w:ascii="仿宋" w:hAnsi="仿宋" w:eastAsia="仿宋" w:cs="仿宋"/>
          <w:b/>
          <w:sz w:val="28"/>
        </w:rPr>
        <w:br w:type="page"/>
      </w: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after="312" w:afterLines="100" w:line="400" w:lineRule="exact"/>
        <w:ind w:firstLine="3360" w:firstLineChars="700"/>
        <w:jc w:val="left"/>
        <w:outlineLvl w:val="0"/>
        <w:rPr>
          <w:rFonts w:ascii="黑体" w:eastAsia="黑体" w:cs="黑体"/>
          <w:kern w:val="0"/>
          <w:sz w:val="48"/>
          <w:szCs w:val="48"/>
        </w:rPr>
      </w:pPr>
      <w:bookmarkStart w:id="2" w:name="_Toc60053195"/>
      <w:r>
        <w:rPr>
          <w:rFonts w:hint="eastAsia" w:ascii="黑体" w:eastAsia="黑体" w:cs="黑体"/>
          <w:kern w:val="0"/>
          <w:sz w:val="48"/>
          <w:szCs w:val="48"/>
        </w:rPr>
        <w:t>编制说明</w:t>
      </w:r>
      <w:bookmarkEnd w:id="2"/>
    </w:p>
    <w:p>
      <w:pPr>
        <w:spacing w:after="93" w:line="216" w:lineRule="auto"/>
        <w:ind w:left="2253" w:hanging="1815"/>
        <w:rPr>
          <w:rFonts w:ascii="仿宋" w:hAnsi="仿宋" w:eastAsia="仿宋" w:cs="仿宋"/>
          <w:sz w:val="24"/>
        </w:rPr>
      </w:pPr>
      <w:r>
        <w:rPr>
          <w:rFonts w:hint="eastAsia" w:ascii="仿宋" w:hAnsi="仿宋" w:eastAsia="仿宋" w:cs="仿宋"/>
          <w:sz w:val="24"/>
        </w:rPr>
        <w:t>本报告是浙江南泵流体机械有限公司发布2</w:t>
      </w:r>
      <w:r>
        <w:rPr>
          <w:rFonts w:ascii="仿宋" w:hAnsi="仿宋" w:eastAsia="仿宋" w:cs="仿宋"/>
          <w:sz w:val="24"/>
        </w:rPr>
        <w:t>02</w:t>
      </w:r>
      <w:r>
        <w:rPr>
          <w:rFonts w:hint="eastAsia" w:ascii="仿宋" w:hAnsi="仿宋" w:eastAsia="仿宋" w:cs="仿宋"/>
          <w:sz w:val="24"/>
          <w:lang w:val="en-US" w:eastAsia="zh-CN"/>
        </w:rPr>
        <w:t>2</w:t>
      </w:r>
      <w:r>
        <w:rPr>
          <w:rFonts w:hint="eastAsia" w:ascii="仿宋" w:hAnsi="仿宋" w:eastAsia="仿宋" w:cs="仿宋"/>
          <w:sz w:val="24"/>
        </w:rPr>
        <w:t>年度社会责任报告。</w:t>
      </w:r>
    </w:p>
    <w:p>
      <w:pPr>
        <w:spacing w:after="93" w:line="216" w:lineRule="auto"/>
        <w:ind w:left="2253" w:hanging="1815"/>
        <w:rPr>
          <w:rFonts w:ascii="仿宋" w:hAnsi="仿宋" w:eastAsia="仿宋" w:cs="仿宋"/>
          <w:sz w:val="24"/>
        </w:rPr>
      </w:pPr>
      <w:r>
        <w:rPr>
          <w:rFonts w:hint="eastAsia" w:ascii="仿宋" w:hAnsi="仿宋" w:eastAsia="仿宋" w:cs="仿宋"/>
          <w:sz w:val="24"/>
        </w:rPr>
        <w:t>报告组织范围</w:t>
      </w:r>
      <w:r>
        <w:rPr>
          <w:rFonts w:ascii="Calibri" w:hAnsi="Calibri" w:eastAsia="仿宋" w:cs="Calibri"/>
          <w:sz w:val="24"/>
        </w:rPr>
        <w:t>    </w:t>
      </w:r>
      <w:r>
        <w:rPr>
          <w:rFonts w:hint="eastAsia" w:ascii="仿宋" w:hAnsi="仿宋" w:eastAsia="仿宋" w:cs="仿宋"/>
          <w:sz w:val="24"/>
        </w:rPr>
        <w:t>浙江南泵流体机械有限公司</w:t>
      </w:r>
    </w:p>
    <w:p>
      <w:pPr>
        <w:spacing w:after="93" w:line="216" w:lineRule="auto"/>
        <w:ind w:left="2253" w:hanging="1815"/>
        <w:rPr>
          <w:rFonts w:ascii="仿宋" w:hAnsi="仿宋" w:eastAsia="仿宋" w:cs="仿宋"/>
          <w:sz w:val="24"/>
        </w:rPr>
      </w:pPr>
      <w:r>
        <w:rPr>
          <w:rFonts w:hint="eastAsia" w:ascii="仿宋" w:hAnsi="仿宋" w:eastAsia="仿宋" w:cs="仿宋"/>
          <w:sz w:val="24"/>
        </w:rPr>
        <w:t>报告时间范围</w:t>
      </w:r>
      <w:r>
        <w:rPr>
          <w:rFonts w:ascii="Calibri" w:hAnsi="Calibri" w:eastAsia="仿宋" w:cs="Calibri"/>
          <w:sz w:val="24"/>
        </w:rPr>
        <w:t>    </w:t>
      </w:r>
      <w:r>
        <w:rPr>
          <w:rFonts w:hint="eastAsia" w:ascii="仿宋" w:hAnsi="仿宋" w:eastAsia="仿宋" w:cs="仿宋"/>
          <w:sz w:val="24"/>
        </w:rPr>
        <w:t>20</w:t>
      </w:r>
      <w:r>
        <w:rPr>
          <w:rFonts w:ascii="仿宋" w:hAnsi="仿宋" w:eastAsia="仿宋" w:cs="仿宋"/>
          <w:sz w:val="24"/>
        </w:rPr>
        <w:t>22</w:t>
      </w:r>
      <w:r>
        <w:rPr>
          <w:rFonts w:hint="eastAsia" w:ascii="仿宋" w:hAnsi="仿宋" w:eastAsia="仿宋" w:cs="仿宋"/>
          <w:sz w:val="24"/>
        </w:rPr>
        <w:t>年</w:t>
      </w:r>
      <w:r>
        <w:rPr>
          <w:rFonts w:ascii="仿宋" w:hAnsi="仿宋" w:eastAsia="仿宋" w:cs="仿宋"/>
          <w:sz w:val="24"/>
        </w:rPr>
        <w:t>1</w:t>
      </w:r>
      <w:r>
        <w:rPr>
          <w:rFonts w:hint="eastAsia" w:ascii="仿宋" w:hAnsi="仿宋" w:eastAsia="仿宋" w:cs="仿宋"/>
          <w:sz w:val="24"/>
        </w:rPr>
        <w:t>月</w:t>
      </w:r>
      <w:r>
        <w:rPr>
          <w:rFonts w:hint="eastAsia" w:ascii="仿宋" w:hAnsi="仿宋" w:eastAsia="仿宋" w:cs="仿宋"/>
          <w:sz w:val="24"/>
          <w:lang w:val="en-US" w:eastAsia="zh-CN"/>
        </w:rPr>
        <w:t>6</w:t>
      </w:r>
      <w:r>
        <w:rPr>
          <w:rFonts w:hint="eastAsia" w:ascii="仿宋" w:hAnsi="仿宋" w:eastAsia="仿宋" w:cs="仿宋"/>
          <w:sz w:val="24"/>
        </w:rPr>
        <w:t>日至20</w:t>
      </w:r>
      <w:r>
        <w:rPr>
          <w:rFonts w:ascii="仿宋" w:hAnsi="仿宋" w:eastAsia="仿宋" w:cs="仿宋"/>
          <w:sz w:val="24"/>
        </w:rPr>
        <w:t>22</w:t>
      </w:r>
      <w:r>
        <w:rPr>
          <w:rFonts w:hint="eastAsia" w:ascii="仿宋" w:hAnsi="仿宋" w:eastAsia="仿宋" w:cs="仿宋"/>
          <w:sz w:val="24"/>
        </w:rPr>
        <w:t>年</w:t>
      </w:r>
      <w:r>
        <w:rPr>
          <w:rFonts w:ascii="仿宋" w:hAnsi="仿宋" w:eastAsia="仿宋" w:cs="仿宋"/>
          <w:sz w:val="24"/>
        </w:rPr>
        <w:t>12</w:t>
      </w:r>
      <w:r>
        <w:rPr>
          <w:rFonts w:hint="eastAsia" w:ascii="仿宋" w:hAnsi="仿宋" w:eastAsia="仿宋" w:cs="仿宋"/>
          <w:sz w:val="24"/>
        </w:rPr>
        <w:t>月</w:t>
      </w:r>
      <w:r>
        <w:rPr>
          <w:rFonts w:ascii="仿宋" w:hAnsi="仿宋" w:eastAsia="仿宋" w:cs="仿宋"/>
          <w:sz w:val="24"/>
        </w:rPr>
        <w:t>31</w:t>
      </w:r>
      <w:r>
        <w:rPr>
          <w:rFonts w:hint="eastAsia" w:ascii="仿宋" w:hAnsi="仿宋" w:eastAsia="仿宋" w:cs="仿宋"/>
          <w:sz w:val="24"/>
        </w:rPr>
        <w:t>日</w:t>
      </w:r>
    </w:p>
    <w:p>
      <w:pPr>
        <w:tabs>
          <w:tab w:val="left" w:pos="7227"/>
        </w:tabs>
        <w:spacing w:after="93" w:line="216" w:lineRule="auto"/>
        <w:ind w:left="2253" w:hanging="1815"/>
        <w:rPr>
          <w:rFonts w:ascii="仿宋" w:hAnsi="仿宋" w:eastAsia="仿宋" w:cs="仿宋"/>
          <w:sz w:val="24"/>
        </w:rPr>
      </w:pPr>
      <w:r>
        <w:rPr>
          <w:rFonts w:hint="eastAsia" w:ascii="仿宋" w:hAnsi="仿宋" w:eastAsia="仿宋" w:cs="仿宋"/>
          <w:sz w:val="24"/>
        </w:rPr>
        <w:t>报告发布周期</w:t>
      </w:r>
      <w:r>
        <w:rPr>
          <w:rFonts w:ascii="Calibri" w:hAnsi="Calibri" w:eastAsia="仿宋" w:cs="Calibri"/>
          <w:sz w:val="24"/>
        </w:rPr>
        <w:t>    </w:t>
      </w:r>
      <w:r>
        <w:rPr>
          <w:rFonts w:hint="eastAsia" w:ascii="仿宋" w:hAnsi="仿宋" w:eastAsia="仿宋" w:cs="仿宋"/>
          <w:sz w:val="24"/>
        </w:rPr>
        <w:t>年度报告</w:t>
      </w:r>
      <w:r>
        <w:rPr>
          <w:rFonts w:ascii="仿宋" w:hAnsi="仿宋" w:eastAsia="仿宋" w:cs="仿宋"/>
          <w:sz w:val="24"/>
        </w:rPr>
        <w:tab/>
      </w:r>
    </w:p>
    <w:p>
      <w:pPr>
        <w:spacing w:after="93" w:line="216" w:lineRule="auto"/>
        <w:ind w:left="2253" w:hanging="1815"/>
        <w:rPr>
          <w:rFonts w:ascii="仿宋" w:hAnsi="仿宋" w:eastAsia="仿宋" w:cs="仿宋"/>
          <w:sz w:val="24"/>
        </w:rPr>
      </w:pPr>
      <w:r>
        <w:rPr>
          <w:rFonts w:hint="eastAsia" w:ascii="仿宋" w:hAnsi="仿宋" w:eastAsia="仿宋" w:cs="仿宋"/>
          <w:sz w:val="24"/>
        </w:rPr>
        <w:t>报告数据说明</w:t>
      </w:r>
      <w:r>
        <w:rPr>
          <w:rFonts w:ascii="Calibri" w:hAnsi="Calibri" w:eastAsia="仿宋" w:cs="Calibri"/>
          <w:sz w:val="24"/>
        </w:rPr>
        <w:t>    </w:t>
      </w:r>
      <w:r>
        <w:rPr>
          <w:rFonts w:hint="eastAsia" w:ascii="仿宋" w:hAnsi="仿宋" w:eastAsia="仿宋" w:cs="仿宋"/>
          <w:sz w:val="24"/>
        </w:rPr>
        <w:t>本报告采用数据来自于浙江南泵流体机械有限公司</w:t>
      </w:r>
    </w:p>
    <w:p>
      <w:pPr>
        <w:spacing w:after="93" w:line="216" w:lineRule="auto"/>
        <w:ind w:left="2253" w:hanging="1815"/>
        <w:rPr>
          <w:rFonts w:ascii="仿宋" w:hAnsi="仿宋" w:eastAsia="仿宋" w:cs="仿宋"/>
          <w:sz w:val="24"/>
        </w:rPr>
      </w:pPr>
      <w:r>
        <w:rPr>
          <w:rFonts w:hint="eastAsia" w:ascii="仿宋" w:hAnsi="仿宋" w:eastAsia="仿宋" w:cs="仿宋"/>
          <w:sz w:val="24"/>
        </w:rPr>
        <w:t>报告获取形式</w:t>
      </w:r>
      <w:r>
        <w:rPr>
          <w:rFonts w:ascii="Calibri" w:hAnsi="Calibri" w:eastAsia="仿宋" w:cs="Calibri"/>
          <w:sz w:val="24"/>
        </w:rPr>
        <w:t>    </w:t>
      </w:r>
      <w:r>
        <w:rPr>
          <w:rFonts w:hint="eastAsia" w:ascii="仿宋" w:hAnsi="仿宋" w:eastAsia="仿宋" w:cs="仿宋"/>
          <w:sz w:val="24"/>
        </w:rPr>
        <w:t>本报告以网站形式发布</w:t>
      </w:r>
    </w:p>
    <w:p>
      <w:pPr>
        <w:spacing w:after="93" w:line="216" w:lineRule="auto"/>
        <w:ind w:left="2253" w:hanging="1815"/>
        <w:rPr>
          <w:rFonts w:hint="eastAsia" w:ascii="黑体" w:hAnsi="黑体" w:eastAsia="仿宋" w:cs="Arial"/>
          <w:color w:val="000000" w:themeColor="text1"/>
          <w:sz w:val="30"/>
          <w:szCs w:val="30"/>
          <w:lang w:eastAsia="zh-CN"/>
        </w:rPr>
      </w:pPr>
      <w:bookmarkStart w:id="3" w:name="_Hlk87779786"/>
      <w:r>
        <w:rPr>
          <w:rFonts w:hint="eastAsia" w:ascii="仿宋" w:hAnsi="仿宋" w:eastAsia="仿宋" w:cs="仿宋"/>
          <w:sz w:val="24"/>
        </w:rPr>
        <w:t>地        址：</w:t>
      </w:r>
      <w:bookmarkEnd w:id="3"/>
      <w:r>
        <w:rPr>
          <w:rFonts w:hint="eastAsia" w:ascii="宋体" w:hAnsi="宋体" w:eastAsia="仿宋"/>
          <w:color w:val="000000"/>
          <w:sz w:val="24"/>
          <w:lang w:eastAsia="zh-CN"/>
        </w:rPr>
        <w:t>浙江省湖州市德清县钟管镇振兴南路628号</w:t>
      </w: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bookmarkStart w:id="7" w:name="_GoBack"/>
    </w:p>
    <w:bookmarkEnd w:id="7"/>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spacing w:line="520" w:lineRule="exact"/>
        <w:jc w:val="center"/>
        <w:rPr>
          <w:rFonts w:ascii="黑体" w:hAnsi="黑体" w:eastAsia="黑体" w:cs="Arial"/>
          <w:color w:val="000000" w:themeColor="text1"/>
          <w:sz w:val="30"/>
          <w:szCs w:val="30"/>
        </w:rPr>
      </w:pPr>
    </w:p>
    <w:p>
      <w:pPr>
        <w:widowControl/>
        <w:jc w:val="center"/>
        <w:rPr>
          <w:rFonts w:ascii="宋体" w:hAnsi="宋体"/>
          <w:b/>
          <w:sz w:val="48"/>
          <w:szCs w:val="48"/>
        </w:rPr>
      </w:pPr>
    </w:p>
    <w:p>
      <w:pPr>
        <w:widowControl/>
        <w:jc w:val="center"/>
        <w:rPr>
          <w:rFonts w:ascii="宋体" w:hAnsi="宋体"/>
          <w:b/>
          <w:sz w:val="48"/>
          <w:szCs w:val="48"/>
        </w:rPr>
      </w:pPr>
      <w:r>
        <w:rPr>
          <w:rFonts w:hint="eastAsia" w:ascii="宋体" w:hAnsi="宋体"/>
          <w:b/>
          <w:sz w:val="48"/>
          <w:szCs w:val="48"/>
        </w:rPr>
        <w:t>公司概况</w:t>
      </w:r>
    </w:p>
    <w:p>
      <w:pPr>
        <w:pStyle w:val="18"/>
        <w:spacing w:line="480" w:lineRule="exact"/>
        <w:ind w:firstLine="550" w:firstLineChars="250"/>
        <w:rPr>
          <w:rFonts w:ascii="宋体" w:hAnsi="宋体" w:eastAsia="宋体"/>
          <w:sz w:val="22"/>
          <w:szCs w:val="22"/>
          <w:lang w:eastAsia="zh-CN"/>
        </w:rPr>
      </w:pPr>
    </w:p>
    <w:p>
      <w:pPr>
        <w:spacing w:line="400" w:lineRule="exact"/>
        <w:rPr>
          <w:rFonts w:ascii="Arial" w:hAnsi="Arial" w:cs="Arial"/>
          <w:color w:val="333333"/>
          <w:sz w:val="24"/>
          <w:szCs w:val="24"/>
        </w:rPr>
      </w:pPr>
      <w:bookmarkStart w:id="4" w:name="_Hlk90570632"/>
      <w:bookmarkStart w:id="5" w:name="_Toc60053197"/>
      <w: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6166485" cy="7308850"/>
            <wp:effectExtent l="0" t="0" r="6350" b="6985"/>
            <wp:wrapNone/>
            <wp:docPr id="962086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86728"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166442" cy="7308662"/>
                    </a:xfrm>
                    <a:prstGeom prst="rect">
                      <a:avLst/>
                    </a:prstGeom>
                  </pic:spPr>
                </pic:pic>
              </a:graphicData>
            </a:graphic>
          </wp:anchor>
        </w:drawing>
      </w:r>
    </w:p>
    <w:p>
      <w:pPr>
        <w:spacing w:line="380" w:lineRule="exact"/>
        <w:ind w:firstLine="480" w:firstLineChars="200"/>
        <w:rPr>
          <w:rFonts w:ascii="Arial" w:hAnsi="Arial" w:cs="Arial"/>
          <w:color w:val="333333"/>
          <w:sz w:val="24"/>
          <w:szCs w:val="24"/>
        </w:rPr>
      </w:pPr>
    </w:p>
    <w:bookmarkEnd w:id="4"/>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p>
    <w:p>
      <w:pPr>
        <w:spacing w:after="93" w:line="216" w:lineRule="auto"/>
        <w:ind w:left="2251" w:hanging="1814"/>
        <w:jc w:val="center"/>
        <w:outlineLvl w:val="0"/>
        <w:rPr>
          <w:rFonts w:ascii="黑体" w:eastAsia="黑体" w:cs="黑体"/>
          <w:kern w:val="0"/>
          <w:sz w:val="48"/>
          <w:szCs w:val="48"/>
        </w:rPr>
      </w:pPr>
      <w:r>
        <w:rPr>
          <w:rFonts w:hint="eastAsia" w:ascii="黑体" w:eastAsia="黑体" w:cs="黑体"/>
          <w:kern w:val="0"/>
          <w:sz w:val="48"/>
          <w:szCs w:val="48"/>
        </w:rPr>
        <w:t>社会责任履行情况</w:t>
      </w:r>
      <w:bookmarkEnd w:id="5"/>
    </w:p>
    <w:p>
      <w:pPr>
        <w:widowControl/>
        <w:shd w:val="clear" w:color="auto" w:fill="FFFFFF"/>
        <w:spacing w:line="360" w:lineRule="auto"/>
        <w:jc w:val="left"/>
        <w:rPr>
          <w:b/>
          <w:bCs/>
          <w:sz w:val="24"/>
          <w:szCs w:val="24"/>
        </w:rPr>
      </w:pPr>
      <w:r>
        <w:rPr>
          <w:rFonts w:hint="eastAsia"/>
          <w:b/>
          <w:bCs/>
          <w:sz w:val="24"/>
          <w:szCs w:val="24"/>
        </w:rPr>
        <w:t>（一）保护员工的权益，建立和完善劳动关系、薪酬福利体系、职业培训制度</w:t>
      </w:r>
    </w:p>
    <w:p>
      <w:pPr>
        <w:widowControl/>
        <w:shd w:val="clear" w:color="auto" w:fill="FFFFFF"/>
        <w:spacing w:line="360" w:lineRule="auto"/>
        <w:ind w:firstLine="420" w:firstLineChars="200"/>
        <w:jc w:val="left"/>
        <w:rPr>
          <w:szCs w:val="21"/>
        </w:rPr>
      </w:pPr>
      <w:r>
        <w:rPr>
          <w:rFonts w:hint="eastAsia"/>
          <w:szCs w:val="21"/>
        </w:rPr>
        <w:t>员工是企业宝贵的财富，企业的生存和发展离不开员工。营造良好的工作氛围，有利于员工自身价值的实现，创造平等竞争的平台，有利于员工创造力的发挥，建立完善的培训制度，有利于员工职业生涯的发展。尊重和关心员工，维护员工的合法权益，促进员工的价值实现和能力提升，实现企业和员工的共同成长。</w:t>
      </w:r>
    </w:p>
    <w:p>
      <w:pPr>
        <w:widowControl/>
        <w:shd w:val="clear" w:color="auto" w:fill="FFFFFF"/>
        <w:spacing w:line="360" w:lineRule="auto"/>
        <w:ind w:firstLine="420" w:firstLineChars="200"/>
        <w:jc w:val="left"/>
        <w:rPr>
          <w:szCs w:val="21"/>
        </w:rPr>
      </w:pPr>
      <w:r>
        <w:rPr>
          <w:rFonts w:hint="eastAsia"/>
          <w:szCs w:val="21"/>
        </w:rPr>
        <w:t>1、至成文日期，公司共有员工约</w:t>
      </w:r>
      <w:r>
        <w:rPr>
          <w:szCs w:val="21"/>
          <w:highlight w:val="none"/>
        </w:rPr>
        <w:t>3</w:t>
      </w:r>
      <w:r>
        <w:rPr>
          <w:rFonts w:hint="eastAsia"/>
          <w:szCs w:val="21"/>
          <w:highlight w:val="none"/>
          <w:lang w:val="en-US" w:eastAsia="zh-CN"/>
        </w:rPr>
        <w:t>60</w:t>
      </w:r>
      <w:r>
        <w:rPr>
          <w:rFonts w:hint="eastAsia"/>
          <w:szCs w:val="21"/>
        </w:rPr>
        <w:t>多人，公司严格执行《劳动法》和《合同法》的相关要求，与所有在职员工签订劳动合同，按时足额为员工缴纳五项社会保险。严格执行休假制度，保障职工合法权益，推进人事制度改革，激发员工的工作积极性，促进劳资关系的和谐稳定。</w:t>
      </w:r>
    </w:p>
    <w:p>
      <w:pPr>
        <w:widowControl/>
        <w:shd w:val="clear" w:color="auto" w:fill="FFFFFF"/>
        <w:spacing w:line="360" w:lineRule="auto"/>
        <w:ind w:firstLine="420" w:firstLineChars="200"/>
        <w:jc w:val="left"/>
        <w:rPr>
          <w:szCs w:val="21"/>
        </w:rPr>
      </w:pPr>
      <w:r>
        <w:rPr>
          <w:rFonts w:hint="eastAsia"/>
          <w:szCs w:val="21"/>
        </w:rPr>
        <w:t>2、薪酬考核坚持执行《绩效管理制度》，坚持公正、公平、公开原则；坚持责任导向原则，以员工岗位职责作为考评的重要标准；坚持管理者与员工共同承担实现绩效目标责任的原则；坚持绩效考评结果与薪酬激励、个人职业发展相结合原则。每年进行绩效考核，对考核指标进行量化，员工的绩效评估结果，直接影响薪酬收入；实施管理者年度目标责任书机制，在日常的实际管理工作和员工绩效观念的建立方面都取得了重要的进展。</w:t>
      </w:r>
    </w:p>
    <w:p>
      <w:pPr>
        <w:widowControl/>
        <w:shd w:val="clear" w:color="auto" w:fill="FFFFFF"/>
        <w:spacing w:line="360" w:lineRule="auto"/>
        <w:ind w:firstLine="420" w:firstLineChars="200"/>
        <w:jc w:val="left"/>
        <w:rPr>
          <w:szCs w:val="21"/>
        </w:rPr>
      </w:pPr>
      <w:r>
        <w:rPr>
          <w:rFonts w:hint="eastAsia"/>
          <w:szCs w:val="21"/>
        </w:rPr>
        <w:t>3、职业培训重视员工的职业规划与发展。</w:t>
      </w:r>
      <w:r>
        <w:rPr>
          <w:szCs w:val="21"/>
        </w:rPr>
        <w:t>公司一直坚持“以人为本”的人才战略，识人才、重人才，并针对人才展开相应的培训，旨在通过激发员工的潜力，提升员工工作的愉悦度，实现公司与员工的双赢。</w:t>
      </w:r>
      <w:r>
        <w:rPr>
          <w:rFonts w:hint="eastAsia"/>
          <w:szCs w:val="21"/>
        </w:rPr>
        <w:t>营</w:t>
      </w:r>
      <w:r>
        <w:rPr>
          <w:szCs w:val="21"/>
        </w:rPr>
        <w:t>建企业内部学习组织等方式，开展多场针对车间管理、</w:t>
      </w:r>
      <w:r>
        <w:rPr>
          <w:rFonts w:hint="eastAsia"/>
          <w:szCs w:val="21"/>
        </w:rPr>
        <w:t>工艺</w:t>
      </w:r>
      <w:r>
        <w:rPr>
          <w:szCs w:val="21"/>
        </w:rPr>
        <w:t>技术等方面的专业培训</w:t>
      </w:r>
      <w:r>
        <w:rPr>
          <w:rFonts w:hint="eastAsia"/>
          <w:szCs w:val="21"/>
        </w:rPr>
        <w:t>。积极组织开展多种形式的岗位培训、技能培训、管理培训等，确保员工能在最短的时间内适应与融入工作环境；为培养员工和中层干部的业务水平，本年度对新入职员工、中、高层人员进行了专业技能、业务培训发展战略、绩效管理、流程化管理与制度建设、企业文化建设研讨等培训。</w:t>
      </w:r>
    </w:p>
    <w:p>
      <w:pPr>
        <w:spacing w:line="520" w:lineRule="exact"/>
        <w:ind w:firstLine="420" w:firstLineChars="200"/>
        <w:rPr>
          <w:szCs w:val="21"/>
        </w:rPr>
      </w:pPr>
      <w:r>
        <w:rPr>
          <w:rFonts w:hint="eastAsia"/>
          <w:szCs w:val="21"/>
        </w:rPr>
        <w:t>4、</w:t>
      </w:r>
      <w:r>
        <w:rPr>
          <w:szCs w:val="21"/>
        </w:rPr>
        <w:t>公司健全劳动保护制度，注重安全生产体系建设工作，落实安全生产责任，不断提高公司的安全管理水平。公司对新进员工在入职培训中设有专门的安全培训课程，通过定期基础管理工作检查落实安全生产工作的执行与监督，将安全生产工作纳入到日常的绩效考核体系中。在日常工作中，公司为生产工人购置全套劳保用品，并定期检查和更换。同时公司严格执行GB/T45001-2020职业健康安全管理体系认证，并定期对员工进行体检，体检覆盖率达100%，切实保护员工身体健康。</w:t>
      </w:r>
    </w:p>
    <w:p>
      <w:pPr>
        <w:widowControl/>
        <w:shd w:val="clear" w:color="auto" w:fill="FFFFFF"/>
        <w:spacing w:line="360" w:lineRule="auto"/>
        <w:ind w:firstLine="420" w:firstLineChars="200"/>
        <w:jc w:val="left"/>
        <w:rPr>
          <w:szCs w:val="21"/>
        </w:rPr>
      </w:pPr>
      <w:r>
        <w:rPr>
          <w:szCs w:val="21"/>
        </w:rPr>
        <w:t>5</w:t>
      </w:r>
      <w:r>
        <w:rPr>
          <w:rFonts w:hint="eastAsia"/>
          <w:szCs w:val="21"/>
        </w:rPr>
        <w:t>、工会职代会发挥越来越重要的作用，20</w:t>
      </w:r>
      <w:r>
        <w:rPr>
          <w:szCs w:val="21"/>
        </w:rPr>
        <w:t>2</w:t>
      </w:r>
      <w:r>
        <w:rPr>
          <w:rFonts w:hint="eastAsia"/>
          <w:szCs w:val="21"/>
          <w:lang w:val="en-US" w:eastAsia="zh-CN"/>
        </w:rPr>
        <w:t>2</w:t>
      </w:r>
      <w:r>
        <w:rPr>
          <w:rFonts w:hint="eastAsia"/>
          <w:szCs w:val="21"/>
        </w:rPr>
        <w:t>年公司职代会在构建和谐劳动关系，维护职工合法权益，保护弱势群体，促进企业全面健康发展方面有了长足的进步。公司有较为完善的福利政策，并能惠及普通员工，如中餐补贴、生日蛋糕、高温慰问、节日礼物、车补等；有定期举行运动会、拓展、集体旅游活动，使员工劳逸结合，同时加强凝聚力，做好扶贫帮困工作，对于生病住院的员工，工会及时组织慰问，把组织的温暖送到职工心坎，真挚的关怀使职工感到温暖，解除职工后顾之忧，关心职工生活，把工会建成职工之家。</w:t>
      </w:r>
    </w:p>
    <w:p>
      <w:pPr>
        <w:widowControl/>
        <w:shd w:val="clear" w:color="auto" w:fill="FFFFFF"/>
        <w:spacing w:line="360" w:lineRule="auto"/>
        <w:jc w:val="left"/>
        <w:rPr>
          <w:szCs w:val="21"/>
        </w:rPr>
      </w:pPr>
      <w:r>
        <w:drawing>
          <wp:inline distT="0" distB="0" distL="0" distR="0">
            <wp:extent cx="6192520" cy="2861945"/>
            <wp:effectExtent l="0" t="0" r="0" b="0"/>
            <wp:docPr id="1284386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86687" name="图片 1"/>
                    <pic:cNvPicPr>
                      <a:picLocks noChangeAspect="1"/>
                    </pic:cNvPicPr>
                  </pic:nvPicPr>
                  <pic:blipFill>
                    <a:blip r:embed="rId8"/>
                    <a:stretch>
                      <a:fillRect/>
                    </a:stretch>
                  </pic:blipFill>
                  <pic:spPr>
                    <a:xfrm>
                      <a:off x="0" y="0"/>
                      <a:ext cx="6192520" cy="2861945"/>
                    </a:xfrm>
                    <a:prstGeom prst="rect">
                      <a:avLst/>
                    </a:prstGeom>
                  </pic:spPr>
                </pic:pic>
              </a:graphicData>
            </a:graphic>
          </wp:inline>
        </w:drawing>
      </w:r>
      <w:r>
        <w:drawing>
          <wp:inline distT="0" distB="0" distL="0" distR="0">
            <wp:extent cx="6156960" cy="2733040"/>
            <wp:effectExtent l="0" t="0" r="0" b="0"/>
            <wp:docPr id="1961281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81566" name="图片 1"/>
                    <pic:cNvPicPr>
                      <a:picLocks noChangeAspect="1"/>
                    </pic:cNvPicPr>
                  </pic:nvPicPr>
                  <pic:blipFill>
                    <a:blip r:embed="rId9"/>
                    <a:stretch>
                      <a:fillRect/>
                    </a:stretch>
                  </pic:blipFill>
                  <pic:spPr>
                    <a:xfrm>
                      <a:off x="0" y="0"/>
                      <a:ext cx="6164665" cy="2736510"/>
                    </a:xfrm>
                    <a:prstGeom prst="rect">
                      <a:avLst/>
                    </a:prstGeom>
                  </pic:spPr>
                </pic:pic>
              </a:graphicData>
            </a:graphic>
          </wp:inline>
        </w:drawing>
      </w:r>
    </w:p>
    <w:p>
      <w:pPr>
        <w:widowControl/>
        <w:shd w:val="clear" w:color="auto" w:fill="FFFFFF"/>
        <w:spacing w:line="360" w:lineRule="auto"/>
        <w:ind w:left="210" w:hanging="210" w:hangingChars="100"/>
        <w:jc w:val="left"/>
        <w:rPr>
          <w:szCs w:val="21"/>
        </w:rPr>
      </w:pPr>
      <w:r>
        <w:rPr>
          <w:szCs w:val="21"/>
        </w:rPr>
        <w:t xml:space="preserve">                               </w:t>
      </w:r>
    </w:p>
    <w:p>
      <w:pPr>
        <w:widowControl/>
        <w:shd w:val="clear" w:color="auto" w:fill="FFFFFF"/>
        <w:spacing w:line="360" w:lineRule="auto"/>
        <w:jc w:val="left"/>
        <w:rPr>
          <w:b/>
          <w:bCs/>
          <w:sz w:val="28"/>
          <w:szCs w:val="28"/>
        </w:rPr>
      </w:pPr>
      <w:r>
        <w:rPr>
          <w:rFonts w:hint="eastAsia"/>
          <w:b/>
          <w:bCs/>
          <w:sz w:val="28"/>
          <w:szCs w:val="28"/>
        </w:rPr>
        <w:t>（二）</w:t>
      </w:r>
      <w:r>
        <w:rPr>
          <w:b/>
          <w:bCs/>
          <w:sz w:val="28"/>
          <w:szCs w:val="28"/>
        </w:rPr>
        <w:t>供应商、</w:t>
      </w:r>
      <w:r>
        <w:rPr>
          <w:rFonts w:hint="eastAsia"/>
          <w:b/>
          <w:bCs/>
          <w:sz w:val="28"/>
          <w:szCs w:val="28"/>
        </w:rPr>
        <w:t>代理商、</w:t>
      </w:r>
      <w:r>
        <w:rPr>
          <w:b/>
          <w:bCs/>
          <w:sz w:val="28"/>
          <w:szCs w:val="28"/>
        </w:rPr>
        <w:t>客户和消费者权益保护</w:t>
      </w:r>
    </w:p>
    <w:p>
      <w:pPr>
        <w:autoSpaceDE w:val="0"/>
        <w:autoSpaceDN w:val="0"/>
        <w:adjustRightInd w:val="0"/>
        <w:spacing w:line="400" w:lineRule="exact"/>
        <w:jc w:val="left"/>
        <w:rPr>
          <w:szCs w:val="21"/>
        </w:rPr>
      </w:pPr>
      <w:r>
        <w:rPr>
          <w:rFonts w:hint="eastAsia"/>
          <w:szCs w:val="21"/>
        </w:rPr>
        <w:t xml:space="preserve">   </w:t>
      </w:r>
      <w:r>
        <w:rPr>
          <w:szCs w:val="21"/>
        </w:rPr>
        <w:t xml:space="preserve"> 2022</w:t>
      </w:r>
      <w:r>
        <w:rPr>
          <w:rFonts w:hint="eastAsia"/>
          <w:szCs w:val="21"/>
        </w:rPr>
        <w:t>年度</w:t>
      </w:r>
      <w:r>
        <w:rPr>
          <w:szCs w:val="21"/>
        </w:rPr>
        <w:t>公司追求与政府、客户、价值链伙伴、同业、公众和谐共生，共同创造价值、分享成功；</w:t>
      </w:r>
      <w:r>
        <w:rPr>
          <w:rFonts w:hint="eastAsia"/>
          <w:szCs w:val="21"/>
        </w:rPr>
        <w:t>公司将诚信廉洁纳入到企业理念中，严格履行道德准则，做到诚实守信、依法经营、依法纳税，在客户、供应商、银行、公众、社会中树立了良好的信用道德形象；</w:t>
      </w:r>
      <w:r>
        <w:rPr>
          <w:szCs w:val="21"/>
        </w:rPr>
        <w:t>建立保护客户、供应商权益机制，注重与相关方的沟通与互动，构筑信任与合作的基础。注重在企业运营的同时，公司尽可能兼顾相关方的不同需求，将保护他们的权益视为自身责任，努力付诸行动。</w:t>
      </w:r>
    </w:p>
    <w:p>
      <w:pPr>
        <w:widowControl/>
        <w:shd w:val="clear" w:color="auto" w:fill="FFFFFF"/>
        <w:spacing w:line="360" w:lineRule="auto"/>
        <w:ind w:firstLine="630" w:firstLineChars="300"/>
        <w:jc w:val="left"/>
        <w:rPr>
          <w:szCs w:val="21"/>
        </w:rPr>
      </w:pPr>
      <w:r>
        <w:rPr>
          <w:rFonts w:hint="eastAsia"/>
          <w:szCs w:val="21"/>
        </w:rPr>
        <w:t>1、</w:t>
      </w:r>
      <w:r>
        <w:rPr>
          <w:szCs w:val="21"/>
        </w:rPr>
        <w:t>坚持与供应商保持互惠互利、合作共赢的良性关系。公司坚持诚信经营、利益共享、互惠互利的原则，不断完善采购流程与机制。首先，建立公平、公正的评估体系，尊重供应商的合理报价，维护供应商的产品利益和技术开发利益。其次，</w:t>
      </w:r>
      <w:r>
        <w:rPr>
          <w:rFonts w:hint="eastAsia"/>
          <w:szCs w:val="21"/>
        </w:rPr>
        <w:t>严格遵守并履行合同，以保证供应商的合法权益。公司在加强与供应商业务合作的同时，积极开展技术经验交流，促进双方共同发展，同时，对供应商施加了环境和安全的影响，传达公司的环境和职业健康安全要求，减少、把控潜在风险</w:t>
      </w:r>
      <w:r>
        <w:rPr>
          <w:szCs w:val="21"/>
        </w:rPr>
        <w:t>，并不断加强员工的廉政教育，在公开、公平、公正的前提下与供应商建立了良好的战略合作伙伴关系，实现了公司与供应商的双赢局面。</w:t>
      </w:r>
    </w:p>
    <w:p>
      <w:pPr>
        <w:spacing w:line="520" w:lineRule="exact"/>
        <w:ind w:firstLine="525" w:firstLineChars="250"/>
        <w:rPr>
          <w:szCs w:val="21"/>
        </w:rPr>
      </w:pPr>
      <w:r>
        <w:rPr>
          <w:rFonts w:hint="eastAsia"/>
          <w:szCs w:val="21"/>
        </w:rPr>
        <w:t>2、</w:t>
      </w:r>
      <w:r>
        <w:rPr>
          <w:szCs w:val="21"/>
        </w:rPr>
        <w:t>公司积极树立公司在客户心目中的良好形象，提升品牌形象。公司定期进行客户满意度调查，征集客户意见，制定整改措施，有针对性地加以整改，并完善服务机构配置，提供优质的售前、售中及售后服务，</w:t>
      </w:r>
      <w:r>
        <w:rPr>
          <w:rFonts w:hint="eastAsia"/>
          <w:szCs w:val="21"/>
        </w:rPr>
        <w:t>2</w:t>
      </w:r>
      <w:r>
        <w:rPr>
          <w:szCs w:val="21"/>
        </w:rPr>
        <w:t>023</w:t>
      </w:r>
      <w:r>
        <w:rPr>
          <w:rFonts w:hint="eastAsia"/>
          <w:szCs w:val="21"/>
        </w:rPr>
        <w:t>年元旦召开销售战略会议，</w:t>
      </w:r>
      <w:r>
        <w:rPr>
          <w:szCs w:val="21"/>
        </w:rPr>
        <w:t>进一步</w:t>
      </w:r>
      <w:r>
        <w:rPr>
          <w:rFonts w:hint="eastAsia"/>
          <w:szCs w:val="21"/>
        </w:rPr>
        <w:t>拓展市场，</w:t>
      </w:r>
      <w:r>
        <w:rPr>
          <w:szCs w:val="21"/>
        </w:rPr>
        <w:t>提高产品质量和服务水平，提高客户满意度，保证客户利益。</w:t>
      </w:r>
    </w:p>
    <w:p>
      <w:pPr>
        <w:spacing w:line="520" w:lineRule="exact"/>
        <w:rPr>
          <w:szCs w:val="21"/>
        </w:rPr>
      </w:pPr>
      <w:r>
        <w:drawing>
          <wp:anchor distT="0" distB="0" distL="114300" distR="114300" simplePos="0" relativeHeight="251660288" behindDoc="0" locked="0" layoutInCell="1" allowOverlap="1">
            <wp:simplePos x="0" y="0"/>
            <wp:positionH relativeFrom="column">
              <wp:posOffset>1905</wp:posOffset>
            </wp:positionH>
            <wp:positionV relativeFrom="paragraph">
              <wp:posOffset>105410</wp:posOffset>
            </wp:positionV>
            <wp:extent cx="6187440" cy="2145030"/>
            <wp:effectExtent l="0" t="0" r="0" b="0"/>
            <wp:wrapNone/>
            <wp:docPr id="1328248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48447"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87440" cy="2145174"/>
                    </a:xfrm>
                    <a:prstGeom prst="rect">
                      <a:avLst/>
                    </a:prstGeom>
                  </pic:spPr>
                </pic:pic>
              </a:graphicData>
            </a:graphic>
          </wp:anchor>
        </w:drawing>
      </w:r>
    </w:p>
    <w:p>
      <w:pPr>
        <w:spacing w:line="520" w:lineRule="exact"/>
        <w:ind w:firstLine="315" w:firstLineChars="150"/>
        <w:rPr>
          <w:szCs w:val="21"/>
        </w:rPr>
      </w:pPr>
    </w:p>
    <w:p>
      <w:pPr>
        <w:spacing w:line="520" w:lineRule="exact"/>
        <w:ind w:firstLine="315" w:firstLineChars="150"/>
        <w:rPr>
          <w:szCs w:val="21"/>
        </w:rPr>
      </w:pPr>
    </w:p>
    <w:p>
      <w:pPr>
        <w:spacing w:line="520" w:lineRule="exact"/>
        <w:ind w:firstLine="315" w:firstLineChars="150"/>
        <w:rPr>
          <w:szCs w:val="21"/>
        </w:rPr>
      </w:pPr>
    </w:p>
    <w:p>
      <w:pPr>
        <w:spacing w:line="520" w:lineRule="exact"/>
        <w:ind w:firstLine="315" w:firstLineChars="150"/>
        <w:rPr>
          <w:szCs w:val="21"/>
        </w:rPr>
      </w:pPr>
    </w:p>
    <w:p>
      <w:pPr>
        <w:spacing w:line="520" w:lineRule="exact"/>
        <w:ind w:firstLine="315" w:firstLineChars="150"/>
        <w:rPr>
          <w:szCs w:val="21"/>
        </w:rPr>
      </w:pPr>
    </w:p>
    <w:p>
      <w:pPr>
        <w:spacing w:line="520" w:lineRule="exact"/>
        <w:ind w:firstLine="315" w:firstLineChars="150"/>
        <w:rPr>
          <w:szCs w:val="21"/>
        </w:rPr>
      </w:pPr>
      <w:r>
        <w:rPr>
          <w:rFonts w:hint="eastAsia"/>
          <w:szCs w:val="21"/>
        </w:rPr>
        <w:t xml:space="preserve"> </w:t>
      </w:r>
    </w:p>
    <w:p>
      <w:pPr>
        <w:widowControl/>
        <w:shd w:val="clear" w:color="auto" w:fill="FFFFFF"/>
        <w:spacing w:line="360" w:lineRule="auto"/>
        <w:jc w:val="left"/>
        <w:rPr>
          <w:b/>
          <w:bCs/>
          <w:szCs w:val="21"/>
        </w:rPr>
      </w:pPr>
      <w:r>
        <w:rPr>
          <w:szCs w:val="21"/>
        </w:rPr>
        <w:t xml:space="preserve">     </w:t>
      </w:r>
      <w:r>
        <w:rPr>
          <w:rFonts w:hint="eastAsia"/>
          <w:szCs w:val="21"/>
        </w:rPr>
        <w:t>3、</w:t>
      </w:r>
      <w:r>
        <w:rPr>
          <w:szCs w:val="21"/>
        </w:rPr>
        <w:t>公司非常重视诚信建设以及对反商业贿赂的内部监督，严格执行廉正监察制度，完善防治商业贿赂的长效机制，严格监控和防范公司或员工与客户和供应商的各类商业贿赂活动，在公司内部树立正气，坚决抵制歪风邪气，严格遵守商业道德和社会公德。同时，公司不依靠虚假宣传和广告牟利，不侵犯供应商、客户的著作权、商标权、专利权等知识产权。</w:t>
      </w:r>
    </w:p>
    <w:p>
      <w:pPr>
        <w:widowControl/>
        <w:shd w:val="clear" w:color="auto" w:fill="FFFFFF"/>
        <w:spacing w:line="360" w:lineRule="auto"/>
        <w:ind w:firstLine="562" w:firstLineChars="200"/>
        <w:jc w:val="left"/>
        <w:rPr>
          <w:b/>
          <w:bCs/>
          <w:sz w:val="28"/>
          <w:szCs w:val="28"/>
        </w:rPr>
      </w:pPr>
      <w:r>
        <w:rPr>
          <w:rFonts w:hint="eastAsia"/>
          <w:b/>
          <w:bCs/>
          <w:sz w:val="28"/>
          <w:szCs w:val="28"/>
        </w:rPr>
        <w:t>（三）建立健全劳动安全生产制度</w:t>
      </w:r>
    </w:p>
    <w:p>
      <w:pPr>
        <w:widowControl/>
        <w:shd w:val="clear" w:color="auto" w:fill="FFFFFF"/>
        <w:spacing w:line="360" w:lineRule="auto"/>
        <w:ind w:firstLine="420" w:firstLineChars="200"/>
        <w:jc w:val="left"/>
        <w:rPr>
          <w:szCs w:val="21"/>
        </w:rPr>
      </w:pPr>
      <w:r>
        <w:rPr>
          <w:rFonts w:hint="eastAsia"/>
          <w:szCs w:val="21"/>
        </w:rPr>
        <w:t>公司十分注重对职工安全生产和劳动保护工作，始终坚持“安全第一”的原则，加大劳动保护设施的投入，不断改善劳动环境，加强员工的安全教育与培训，有效提高职工的安全生产意识和自我保护能力。本年度工厂各部门责任人签定了《安全生产责任书》，加强了各部门责任人的责任心和安全意识，在员工中加强了安全管理。</w:t>
      </w:r>
    </w:p>
    <w:p>
      <w:pPr>
        <w:widowControl/>
        <w:shd w:val="clear" w:color="auto" w:fill="FFFFFF"/>
        <w:spacing w:line="360" w:lineRule="auto"/>
        <w:ind w:firstLine="420" w:firstLineChars="200"/>
        <w:jc w:val="left"/>
        <w:rPr>
          <w:szCs w:val="21"/>
        </w:rPr>
      </w:pPr>
      <w:r>
        <w:rPr>
          <w:szCs w:val="21"/>
        </w:rPr>
        <w:t>1</w:t>
      </w:r>
      <w:r>
        <w:rPr>
          <w:rFonts w:hint="eastAsia"/>
          <w:szCs w:val="21"/>
        </w:rPr>
        <w:t>、劳动环境</w:t>
      </w:r>
    </w:p>
    <w:p>
      <w:pPr>
        <w:widowControl/>
        <w:shd w:val="clear" w:color="auto" w:fill="FFFFFF"/>
        <w:spacing w:line="360" w:lineRule="auto"/>
        <w:ind w:firstLine="420" w:firstLineChars="200"/>
        <w:jc w:val="left"/>
        <w:rPr>
          <w:szCs w:val="21"/>
        </w:rPr>
      </w:pPr>
      <w:r>
        <w:rPr>
          <w:rFonts w:hint="eastAsia"/>
          <w:szCs w:val="21"/>
        </w:rPr>
        <w:t>公司持续落实相关岗位劳动保护措施,进一步改善员工劳动作业环境。根据工作岗位,配备特殊保护措施,增加环保投入，并增加安全防护、废气处理等硬件设施，改善劳动作业环境。</w:t>
      </w:r>
    </w:p>
    <w:p>
      <w:pPr>
        <w:widowControl/>
        <w:shd w:val="clear" w:color="auto" w:fill="FFFFFF"/>
        <w:spacing w:line="360" w:lineRule="auto"/>
        <w:ind w:firstLine="420" w:firstLineChars="200"/>
        <w:jc w:val="left"/>
        <w:rPr>
          <w:szCs w:val="21"/>
        </w:rPr>
      </w:pPr>
      <w:r>
        <w:rPr>
          <w:szCs w:val="21"/>
        </w:rPr>
        <w:t>2</w:t>
      </w:r>
      <w:r>
        <w:rPr>
          <w:rFonts w:hint="eastAsia"/>
          <w:szCs w:val="21"/>
        </w:rPr>
        <w:t>、员工的安全教育培训与保障</w:t>
      </w:r>
    </w:p>
    <w:p>
      <w:pPr>
        <w:widowControl/>
        <w:shd w:val="clear" w:color="auto" w:fill="FFFFFF"/>
        <w:spacing w:line="360" w:lineRule="auto"/>
        <w:ind w:firstLine="420" w:firstLineChars="200"/>
        <w:jc w:val="left"/>
        <w:rPr>
          <w:szCs w:val="21"/>
        </w:rPr>
      </w:pPr>
      <w:r>
        <w:rPr>
          <w:rFonts w:hint="eastAsia"/>
          <w:szCs w:val="21"/>
        </w:rPr>
        <w:t>每位新职工都有安全生产培训和考核，考核合格后才能正式上岗。对于一线操作人员，将安全生产和操作培训纳入年度培训计划中，进行持续教育，规范了员工的生产操作，增强自我保护意识，主动预防和控制各类事故的发生。每年依据公司制定的《应急预案》，开展消防等应急状况演习，通过演习模拟，提升了公司员工应对紧急状况的能力和安全意识，同时对公司应急预案可行性进行考评，实时改进。</w:t>
      </w:r>
    </w:p>
    <w:p>
      <w:pPr>
        <w:widowControl/>
        <w:shd w:val="clear" w:color="auto" w:fill="FFFFFF"/>
        <w:spacing w:line="360" w:lineRule="auto"/>
        <w:ind w:firstLine="420" w:firstLineChars="200"/>
        <w:jc w:val="left"/>
        <w:rPr>
          <w:szCs w:val="21"/>
        </w:rPr>
      </w:pPr>
      <w:r>
        <w:rPr>
          <w:rFonts w:hint="eastAsia"/>
          <w:szCs w:val="21"/>
        </w:rPr>
        <w:t>公司根据对各场所危险源的识别，综合员工意向和外部机构的意见，制订了《劳保用品发放标准》，按制定标准要求定期按需为员工提供劳保用品，教导员工按照规定穿戴劳保用品，避免了安全事故的发生。</w:t>
      </w:r>
    </w:p>
    <w:p>
      <w:pPr>
        <w:widowControl/>
        <w:shd w:val="clear" w:color="auto" w:fill="FFFFFF"/>
        <w:spacing w:line="360" w:lineRule="auto"/>
        <w:ind w:firstLine="420" w:firstLineChars="200"/>
        <w:jc w:val="left"/>
        <w:rPr>
          <w:szCs w:val="21"/>
        </w:rPr>
      </w:pPr>
      <w:r>
        <w:rPr>
          <w:rFonts w:hint="eastAsia"/>
          <w:szCs w:val="21"/>
        </w:rPr>
        <w:t>公司每年度对工作场所职业病危害因素检测，对涉及职业病岗位员工送医院体检，检测和体检结果正常，未出现检测超标和发生职业病情况。</w:t>
      </w:r>
    </w:p>
    <w:p>
      <w:pPr>
        <w:widowControl/>
        <w:shd w:val="clear" w:color="auto" w:fill="FFFFFF"/>
        <w:spacing w:line="360" w:lineRule="auto"/>
        <w:jc w:val="left"/>
        <w:rPr>
          <w:b/>
          <w:bCs/>
          <w:sz w:val="28"/>
          <w:szCs w:val="28"/>
        </w:rPr>
      </w:pPr>
      <w:r>
        <w:rPr>
          <w:rFonts w:hint="eastAsia"/>
          <w:b/>
          <w:bCs/>
          <w:sz w:val="28"/>
          <w:szCs w:val="28"/>
        </w:rPr>
        <w:t>（四）制定环境保护制度，减少污染、降本增效</w:t>
      </w:r>
    </w:p>
    <w:p>
      <w:pPr>
        <w:widowControl/>
        <w:shd w:val="clear" w:color="auto" w:fill="FFFFFF"/>
        <w:spacing w:line="360" w:lineRule="auto"/>
        <w:ind w:firstLine="420" w:firstLineChars="200"/>
        <w:jc w:val="left"/>
        <w:rPr>
          <w:szCs w:val="21"/>
        </w:rPr>
      </w:pPr>
      <w:r>
        <w:rPr>
          <w:rFonts w:hint="eastAsia"/>
          <w:szCs w:val="21"/>
        </w:rPr>
        <w:t>公司深知环境保护是企业的社会责任之一。公司积极响应政府号召，认真贯彻执行“不以牺牲环境为代价换取短期经济利益”的发展战略，大力开展环境保护工作，积极推进清洁化生产和循环型经济的发展目标。持续通过</w:t>
      </w:r>
      <w:r>
        <w:rPr>
          <w:rFonts w:ascii="Times New Roman" w:hAnsi="Times New Roman" w:eastAsia="宋体" w:cs="Times New Roman"/>
          <w:color w:val="000000"/>
          <w:kern w:val="0"/>
          <w:szCs w:val="21"/>
        </w:rPr>
        <w:t>ISO9001</w:t>
      </w:r>
      <w:r>
        <w:rPr>
          <w:rFonts w:hint="eastAsia"/>
          <w:szCs w:val="21"/>
        </w:rPr>
        <w:t>质量管理体系、 I</w:t>
      </w:r>
      <w:r>
        <w:rPr>
          <w:szCs w:val="21"/>
        </w:rPr>
        <w:t>SO</w:t>
      </w:r>
      <w:r>
        <w:rPr>
          <w:rFonts w:hint="eastAsia"/>
          <w:szCs w:val="21"/>
        </w:rPr>
        <w:t>14001 环境管理体系认证及I</w:t>
      </w:r>
      <w:r>
        <w:rPr>
          <w:szCs w:val="21"/>
        </w:rPr>
        <w:t>SO</w:t>
      </w:r>
      <w:r>
        <w:rPr>
          <w:rFonts w:hint="eastAsia"/>
          <w:szCs w:val="21"/>
        </w:rPr>
        <w:t>4</w:t>
      </w:r>
      <w:r>
        <w:rPr>
          <w:szCs w:val="21"/>
        </w:rPr>
        <w:t>5001</w:t>
      </w:r>
      <w:r>
        <w:rPr>
          <w:rFonts w:hint="eastAsia"/>
          <w:szCs w:val="21"/>
        </w:rPr>
        <w:t>职业健康安全管理体系认证，真正实现“低能耗、少污染”的环保型企业。</w:t>
      </w:r>
    </w:p>
    <w:p>
      <w:pPr>
        <w:widowControl/>
        <w:spacing w:line="480" w:lineRule="exact"/>
        <w:ind w:firstLine="420" w:firstLineChars="200"/>
        <w:jc w:val="left"/>
        <w:rPr>
          <w:rFonts w:ascii="宋体" w:hAnsi="宋体" w:eastAsia="宋体" w:cs="宋体"/>
          <w:szCs w:val="21"/>
        </w:rPr>
      </w:pPr>
      <w:r>
        <w:rPr>
          <w:szCs w:val="21"/>
        </w:rPr>
        <w:t>公司通过宣传栏、内部报刊、横幅等形式，不断增强员工节能降耗、环境保护的意识，培养员工在工作和生活中养成自觉节约用电、用水、用纸、用资源管理系统等软件，</w:t>
      </w:r>
      <w:r>
        <w:rPr>
          <w:rFonts w:hint="eastAsia" w:ascii="宋体" w:hAnsi="宋体" w:eastAsia="宋体" w:cs="宋体"/>
          <w:szCs w:val="21"/>
        </w:rPr>
        <w:t>202</w:t>
      </w:r>
      <w:r>
        <w:rPr>
          <w:rFonts w:ascii="宋体" w:hAnsi="宋体" w:eastAsia="宋体" w:cs="宋体"/>
          <w:szCs w:val="21"/>
        </w:rPr>
        <w:t>2</w:t>
      </w:r>
      <w:r>
        <w:rPr>
          <w:rFonts w:hint="eastAsia" w:ascii="宋体" w:hAnsi="宋体" w:eastAsia="宋体" w:cs="宋体"/>
          <w:szCs w:val="21"/>
        </w:rPr>
        <w:t>年公司已对整个业务流程进行梳理，顺利实施了E</w:t>
      </w:r>
      <w:r>
        <w:rPr>
          <w:rFonts w:ascii="宋体" w:hAnsi="宋体" w:eastAsia="宋体" w:cs="宋体"/>
          <w:szCs w:val="21"/>
        </w:rPr>
        <w:t>RP</w:t>
      </w:r>
      <w:r>
        <w:rPr>
          <w:rFonts w:hint="eastAsia" w:ascii="宋体" w:hAnsi="宋体" w:eastAsia="宋体" w:cs="宋体"/>
          <w:szCs w:val="21"/>
        </w:rPr>
        <w:t>等信息系统管理，实现了数字化车间、智能物流和制造的智能化管理，从而实现企业数字化转型，重构企业价值链，提升企业的运营管理水平，实现降本、增效、提质的目的，以提高企业价值创造效率。通过技术创新与数字化的结合，建设企业核心能力，进一步提高企业自身的核心竞争力。</w:t>
      </w:r>
    </w:p>
    <w:p>
      <w:pPr>
        <w:spacing w:line="520" w:lineRule="exact"/>
        <w:ind w:firstLine="480"/>
        <w:rPr>
          <w:szCs w:val="21"/>
        </w:rPr>
      </w:pPr>
      <w:r>
        <w:rPr>
          <w:szCs w:val="21"/>
        </w:rPr>
        <w:t>在日常生产过程中，公司对可利用和不可利用废弃物分别进行回收和集中处理，对生产过程中产生的废油统一收集，</w:t>
      </w:r>
      <w:r>
        <w:rPr>
          <w:rFonts w:hint="eastAsia"/>
          <w:szCs w:val="21"/>
        </w:rPr>
        <w:t>委托</w:t>
      </w:r>
      <w:r>
        <w:rPr>
          <w:szCs w:val="21"/>
        </w:rPr>
        <w:t xml:space="preserve">有资质的废弃物处理公司进行统一回收处理，严格按国家环保要求操作，最大限度地减少企业对环境的影响。 </w:t>
      </w:r>
    </w:p>
    <w:p>
      <w:pPr>
        <w:widowControl/>
        <w:shd w:val="clear" w:color="auto" w:fill="FFFFFF"/>
        <w:spacing w:line="360" w:lineRule="auto"/>
        <w:ind w:firstLine="420" w:firstLineChars="200"/>
        <w:jc w:val="left"/>
        <w:rPr>
          <w:szCs w:val="21"/>
        </w:rPr>
      </w:pPr>
      <w:r>
        <w:rPr>
          <w:rFonts w:hint="eastAsia"/>
          <w:szCs w:val="21"/>
        </w:rPr>
        <w:t>响应国家低碳节能环保要求、体现企业社会责任，公司始终严格执行国家环保"三同时"原则， “三废”检测结果显示，全面达到环保要求，实现达标排放。本年度公司在实施环境保护和节能减排过程中，如期完成国家和市政府环境保护目标和减排要求，全年未发生破坏环境事件。2</w:t>
      </w:r>
      <w:r>
        <w:rPr>
          <w:szCs w:val="21"/>
        </w:rPr>
        <w:t>023</w:t>
      </w:r>
      <w:r>
        <w:rPr>
          <w:rFonts w:hint="eastAsia"/>
          <w:szCs w:val="21"/>
        </w:rPr>
        <w:t>年度工厂将申报绿色工厂、专精特新小巨人等项目。</w:t>
      </w:r>
    </w:p>
    <w:p>
      <w:pPr>
        <w:widowControl/>
        <w:shd w:val="clear" w:color="auto" w:fill="FFFFFF"/>
        <w:spacing w:line="360" w:lineRule="auto"/>
        <w:jc w:val="left"/>
        <w:rPr>
          <w:b/>
          <w:bCs/>
          <w:sz w:val="28"/>
          <w:szCs w:val="28"/>
        </w:rPr>
      </w:pPr>
      <w:r>
        <w:rPr>
          <w:rFonts w:hint="eastAsia"/>
          <w:b/>
          <w:bCs/>
          <w:sz w:val="28"/>
          <w:szCs w:val="28"/>
        </w:rPr>
        <w:t>（五）公益事业，回报社会</w:t>
      </w:r>
    </w:p>
    <w:p>
      <w:pPr>
        <w:widowControl/>
        <w:shd w:val="clear" w:color="auto" w:fill="FFFFFF"/>
        <w:spacing w:line="360" w:lineRule="auto"/>
        <w:ind w:firstLine="630" w:firstLineChars="300"/>
        <w:jc w:val="left"/>
        <w:rPr>
          <w:szCs w:val="21"/>
        </w:rPr>
      </w:pPr>
      <w:r>
        <w:rPr>
          <w:rFonts w:hint="eastAsia"/>
          <w:szCs w:val="21"/>
        </w:rPr>
        <w:t>公司自成立以来，高层领导一直以慈善事业为已任，矢志不渝的投身慈善事业，倡导并身体力行地回馈社会，辐射爱心。公司以周边的教育、慈善事业为重点支持公益领域，信奉财富取之于社会也应回报社会的准则，响应国家号召，为构建和谐社会做贡献，努力做到一个合格的企业公民应尽的社会责任。我们将持之以恒一如既往的关注慈善事业，为科技进步、为社会发展做贡献。</w:t>
      </w:r>
    </w:p>
    <w:p>
      <w:pPr>
        <w:widowControl/>
        <w:shd w:val="clear" w:color="auto" w:fill="FFFFFF"/>
        <w:spacing w:line="360" w:lineRule="auto"/>
        <w:ind w:firstLine="420" w:firstLineChars="200"/>
        <w:jc w:val="left"/>
        <w:rPr>
          <w:szCs w:val="21"/>
        </w:rPr>
      </w:pPr>
      <w:r>
        <w:rPr>
          <w:szCs w:val="21"/>
        </w:rPr>
        <w:t>公司热心参与社会救助和公益事业</w:t>
      </w:r>
      <w:r>
        <w:rPr>
          <w:rFonts w:hint="eastAsia"/>
          <w:szCs w:val="21"/>
        </w:rPr>
        <w:t>，</w:t>
      </w:r>
      <w:r>
        <w:rPr>
          <w:szCs w:val="21"/>
        </w:rPr>
        <w:t>开展扶贫结对、爱心助学、</w:t>
      </w:r>
      <w:r>
        <w:rPr>
          <w:rFonts w:hint="eastAsia"/>
          <w:szCs w:val="21"/>
        </w:rPr>
        <w:t>环境保护、</w:t>
      </w:r>
      <w:r>
        <w:rPr>
          <w:szCs w:val="21"/>
        </w:rPr>
        <w:t>无偿献血、慰问孤老</w:t>
      </w:r>
      <w:r>
        <w:rPr>
          <w:rFonts w:hint="eastAsia"/>
          <w:szCs w:val="21"/>
        </w:rPr>
        <w:t>、抗击疫情</w:t>
      </w:r>
      <w:r>
        <w:rPr>
          <w:szCs w:val="21"/>
        </w:rPr>
        <w:t>等活动</w:t>
      </w:r>
      <w:r>
        <w:rPr>
          <w:rFonts w:hint="eastAsia"/>
          <w:sz w:val="22"/>
        </w:rPr>
        <w:t>。</w:t>
      </w:r>
      <w:r>
        <w:rPr>
          <w:szCs w:val="21"/>
        </w:rPr>
        <w:t>此外，公司与社会各界保持沟通，开展</w:t>
      </w:r>
      <w:r>
        <w:rPr>
          <w:rFonts w:hint="eastAsia"/>
          <w:szCs w:val="21"/>
        </w:rPr>
        <w:t>垃圾分类</w:t>
      </w:r>
      <w:r>
        <w:rPr>
          <w:szCs w:val="21"/>
        </w:rPr>
        <w:t>和谐社区建设等社区服务活动，促进和谐，取得良好的社会影响。公司还积极、主动加强与政府主管部门、行业协会、监管机关、新闻媒体的沟通与联系，对相关部门根据法律、法规要求提出的监督和检查，都予以积极配合、协助，尽到自身的责任与义务。</w:t>
      </w:r>
      <w:r>
        <w:rPr>
          <w:rFonts w:hint="eastAsia"/>
          <w:szCs w:val="21"/>
        </w:rPr>
        <w:t>2</w:t>
      </w:r>
      <w:r>
        <w:rPr>
          <w:szCs w:val="21"/>
        </w:rPr>
        <w:t>022</w:t>
      </w:r>
      <w:r>
        <w:rPr>
          <w:rFonts w:hint="eastAsia"/>
          <w:szCs w:val="21"/>
        </w:rPr>
        <w:t>年度，</w:t>
      </w:r>
      <w:r>
        <w:rPr>
          <w:rFonts w:hint="eastAsia"/>
          <w:sz w:val="22"/>
        </w:rPr>
        <w:t>村里捐款（文化礼堂）</w:t>
      </w:r>
      <w:r>
        <w:rPr>
          <w:sz w:val="22"/>
        </w:rPr>
        <w:t>5</w:t>
      </w:r>
      <w:r>
        <w:rPr>
          <w:rFonts w:hint="eastAsia"/>
          <w:sz w:val="22"/>
        </w:rPr>
        <w:t>万元。</w:t>
      </w:r>
    </w:p>
    <w:p>
      <w:pPr>
        <w:widowControl/>
        <w:shd w:val="clear" w:color="auto" w:fill="FFFFFF"/>
        <w:jc w:val="left"/>
        <w:outlineLvl w:val="0"/>
        <w:rPr>
          <w:b/>
          <w:sz w:val="28"/>
          <w:szCs w:val="28"/>
        </w:rPr>
      </w:pPr>
      <w:bookmarkStart w:id="6" w:name="_Toc60053198"/>
      <w:r>
        <w:rPr>
          <w:rFonts w:hint="eastAsia"/>
          <w:b/>
          <w:sz w:val="28"/>
          <w:szCs w:val="28"/>
        </w:rPr>
        <w:t xml:space="preserve"> </w:t>
      </w:r>
      <w:r>
        <w:rPr>
          <w:b/>
          <w:sz w:val="28"/>
          <w:szCs w:val="28"/>
        </w:rPr>
        <w:t xml:space="preserve"> </w:t>
      </w:r>
    </w:p>
    <w:p>
      <w:pPr>
        <w:widowControl/>
        <w:shd w:val="clear" w:color="auto" w:fill="FFFFFF"/>
        <w:jc w:val="left"/>
        <w:outlineLvl w:val="0"/>
        <w:rPr>
          <w:b/>
          <w:sz w:val="28"/>
          <w:szCs w:val="28"/>
        </w:rPr>
      </w:pPr>
    </w:p>
    <w:p>
      <w:pPr>
        <w:widowControl/>
        <w:shd w:val="clear" w:color="auto" w:fill="FFFFFF"/>
        <w:jc w:val="left"/>
        <w:outlineLvl w:val="0"/>
        <w:rPr>
          <w:b/>
          <w:sz w:val="28"/>
          <w:szCs w:val="28"/>
        </w:rPr>
      </w:pPr>
    </w:p>
    <w:p>
      <w:pPr>
        <w:widowControl/>
        <w:shd w:val="clear" w:color="auto" w:fill="FFFFFF"/>
        <w:outlineLvl w:val="0"/>
        <w:rPr>
          <w:b/>
          <w:sz w:val="28"/>
          <w:szCs w:val="28"/>
        </w:rPr>
      </w:pPr>
      <w:r>
        <w:rPr>
          <w:rFonts w:hint="eastAsia"/>
          <w:b/>
          <w:sz w:val="28"/>
          <w:szCs w:val="28"/>
        </w:rPr>
        <w:t>结语</w:t>
      </w:r>
      <w:bookmarkEnd w:id="6"/>
    </w:p>
    <w:p>
      <w:pPr>
        <w:widowControl/>
        <w:shd w:val="clear" w:color="auto" w:fill="FFFFFF"/>
        <w:spacing w:line="360" w:lineRule="auto"/>
        <w:ind w:firstLine="420" w:firstLineChars="200"/>
        <w:jc w:val="left"/>
        <w:rPr>
          <w:szCs w:val="21"/>
        </w:rPr>
      </w:pPr>
      <w:r>
        <w:rPr>
          <w:rFonts w:hint="eastAsia"/>
          <w:szCs w:val="21"/>
        </w:rPr>
        <w:t>社会责任是每一企业公民应尽的义务，公司充分认识到承担社会责任是一项持续的工作，需要改进相关工作。202</w:t>
      </w:r>
      <w:r>
        <w:rPr>
          <w:szCs w:val="21"/>
        </w:rPr>
        <w:t>3</w:t>
      </w:r>
      <w:r>
        <w:rPr>
          <w:rFonts w:hint="eastAsia"/>
          <w:szCs w:val="21"/>
        </w:rPr>
        <w:t>年我们将继续坚持绿色环保和回馈社会的理念，在追求经济效益的同时，保护职工的合法权益，诚信对待供应商、客户和消费者，积极从事环境保护、帮贫扶困等公益事业，从而促进公司本身与全社会的协调、和谐发展。</w:t>
      </w:r>
    </w:p>
    <w:p>
      <w:pPr>
        <w:widowControl/>
        <w:shd w:val="clear" w:color="auto" w:fill="FFFFFF"/>
        <w:jc w:val="left"/>
        <w:rPr>
          <w:szCs w:val="21"/>
        </w:rPr>
      </w:pPr>
      <w:r>
        <w:rPr>
          <w:rFonts w:hint="eastAsia"/>
          <w:szCs w:val="21"/>
        </w:rPr>
        <w:t xml:space="preserve"> </w:t>
      </w:r>
      <w:r>
        <w:rPr>
          <w:szCs w:val="21"/>
        </w:rPr>
        <w:t xml:space="preserve">  </w:t>
      </w:r>
    </w:p>
    <w:p>
      <w:pPr>
        <w:widowControl/>
        <w:shd w:val="clear" w:color="auto" w:fill="FFFFFF"/>
        <w:spacing w:line="360" w:lineRule="auto"/>
        <w:ind w:firstLine="6480" w:firstLineChars="2700"/>
        <w:jc w:val="left"/>
        <w:rPr>
          <w:rFonts w:ascii="Arial" w:hAnsi="Arial" w:cs="Arial"/>
          <w:sz w:val="24"/>
          <w:szCs w:val="24"/>
        </w:rPr>
      </w:pPr>
      <w:r>
        <w:rPr>
          <w:rFonts w:ascii="楷体" w:hAnsi="楷体" w:eastAsia="楷体" w:cs="Arial"/>
          <w:color w:val="000000" w:themeColor="text1"/>
          <w:sz w:val="24"/>
          <w:szCs w:val="24"/>
        </w:rPr>
        <w:t>二〇二</w:t>
      </w:r>
      <w:r>
        <w:rPr>
          <w:rFonts w:hint="eastAsia" w:ascii="楷体" w:hAnsi="楷体" w:eastAsia="楷体" w:cs="Arial"/>
          <w:color w:val="000000" w:themeColor="text1"/>
          <w:sz w:val="24"/>
          <w:szCs w:val="24"/>
          <w:lang w:val="en-US" w:eastAsia="zh-CN"/>
        </w:rPr>
        <w:t>三</w:t>
      </w:r>
      <w:r>
        <w:rPr>
          <w:rFonts w:ascii="楷体" w:hAnsi="楷体" w:eastAsia="楷体" w:cs="Arial"/>
          <w:color w:val="000000" w:themeColor="text1"/>
          <w:sz w:val="24"/>
          <w:szCs w:val="24"/>
        </w:rPr>
        <w:t>年</w:t>
      </w:r>
      <w:r>
        <w:rPr>
          <w:rFonts w:hint="eastAsia" w:ascii="楷体" w:hAnsi="楷体" w:eastAsia="楷体" w:cs="Arial"/>
          <w:color w:val="000000" w:themeColor="text1"/>
          <w:sz w:val="24"/>
          <w:szCs w:val="24"/>
        </w:rPr>
        <w:t>五</w:t>
      </w:r>
      <w:r>
        <w:rPr>
          <w:rFonts w:ascii="楷体" w:hAnsi="楷体" w:eastAsia="楷体" w:cs="Arial"/>
          <w:color w:val="000000" w:themeColor="text1"/>
          <w:sz w:val="24"/>
          <w:szCs w:val="24"/>
        </w:rPr>
        <w:t>月</w:t>
      </w:r>
      <w:r>
        <w:rPr>
          <w:rFonts w:hint="eastAsia" w:ascii="楷体" w:hAnsi="楷体" w:eastAsia="楷体" w:cs="Arial"/>
          <w:color w:val="000000" w:themeColor="text1"/>
          <w:sz w:val="24"/>
          <w:szCs w:val="24"/>
        </w:rPr>
        <w:t>十九</w:t>
      </w:r>
      <w:r>
        <w:rPr>
          <w:rFonts w:ascii="楷体" w:hAnsi="楷体" w:eastAsia="楷体" w:cs="Arial"/>
          <w:color w:val="000000" w:themeColor="text1"/>
          <w:sz w:val="24"/>
          <w:szCs w:val="24"/>
        </w:rPr>
        <w:t>日</w:t>
      </w:r>
    </w:p>
    <w:sectPr>
      <w:pgSz w:w="11906" w:h="16838"/>
      <w:pgMar w:top="1134" w:right="1077" w:bottom="1134"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idowControl w:val="0"/>
      <w:pBdr>
        <w:top w:val="none" w:color="auto" w:sz="0" w:space="1"/>
        <w:left w:val="none" w:color="auto" w:sz="0" w:space="4"/>
        <w:bottom w:val="single" w:color="auto" w:sz="4" w:space="1"/>
        <w:right w:val="none" w:color="auto" w:sz="0" w:space="4"/>
        <w:between w:val="none" w:color="auto" w:sz="0" w:space="0"/>
      </w:pBdr>
      <w:snapToGrid w:val="0"/>
      <w:jc w:val="right"/>
    </w:pPr>
    <w:r>
      <w:rPr>
        <w:sz w:val="18"/>
      </w:rPr>
      <w:pict>
        <v:shape id="文本框 16" o:spid="_x0000_s3073"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r>
      <w:rPr>
        <w:rFonts w:hint="eastAsia"/>
        <w:lang w:val="en-US" w:eastAsia="zh-CN"/>
      </w:rPr>
      <w:t>浙江南泵流体机械有限公司</w: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both"/>
    </w:pPr>
    <w:r>
      <w:rPr>
        <w:rFonts w:hint="eastAsia" w:eastAsiaTheme="minorEastAsia"/>
        <w:lang w:eastAsia="zh-CN"/>
      </w:rPr>
      <w:drawing>
        <wp:inline distT="0" distB="0" distL="114300" distR="114300">
          <wp:extent cx="1080135" cy="392430"/>
          <wp:effectExtent l="0" t="0" r="5715" b="7620"/>
          <wp:docPr id="2" name="图片 2" descr="蓝色logo+南泵流体 透明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蓝色logo+南泵流体 透明版"/>
                  <pic:cNvPicPr>
                    <a:picLocks noChangeAspect="1"/>
                  </pic:cNvPicPr>
                </pic:nvPicPr>
                <pic:blipFill>
                  <a:blip r:embed="rId1"/>
                  <a:stretch>
                    <a:fillRect/>
                  </a:stretch>
                </pic:blipFill>
                <pic:spPr>
                  <a:xfrm>
                    <a:off x="0" y="0"/>
                    <a:ext cx="1080135" cy="3924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ZjNjYzMmI1ZGNkYWNhY2RlZWIxOWQ4MTVlMjlmZWEifQ=="/>
  </w:docVars>
  <w:rsids>
    <w:rsidRoot w:val="00B3382F"/>
    <w:rsid w:val="00004DDF"/>
    <w:rsid w:val="00005F02"/>
    <w:rsid w:val="00030AF8"/>
    <w:rsid w:val="0006074E"/>
    <w:rsid w:val="00064BC8"/>
    <w:rsid w:val="00066575"/>
    <w:rsid w:val="000809BC"/>
    <w:rsid w:val="000B789C"/>
    <w:rsid w:val="000E1DF4"/>
    <w:rsid w:val="000F1A00"/>
    <w:rsid w:val="00115E7B"/>
    <w:rsid w:val="0011715E"/>
    <w:rsid w:val="00126430"/>
    <w:rsid w:val="0014203A"/>
    <w:rsid w:val="00143734"/>
    <w:rsid w:val="00173A16"/>
    <w:rsid w:val="00175B41"/>
    <w:rsid w:val="00181D88"/>
    <w:rsid w:val="0018397E"/>
    <w:rsid w:val="00185B34"/>
    <w:rsid w:val="00197266"/>
    <w:rsid w:val="001A7DD2"/>
    <w:rsid w:val="001B2785"/>
    <w:rsid w:val="001B4C88"/>
    <w:rsid w:val="001C392E"/>
    <w:rsid w:val="001D3886"/>
    <w:rsid w:val="001E72C0"/>
    <w:rsid w:val="001F3B1C"/>
    <w:rsid w:val="00207D4E"/>
    <w:rsid w:val="00216EC7"/>
    <w:rsid w:val="00231970"/>
    <w:rsid w:val="00254ECF"/>
    <w:rsid w:val="00263C5A"/>
    <w:rsid w:val="002972AA"/>
    <w:rsid w:val="002D3511"/>
    <w:rsid w:val="002E6CF5"/>
    <w:rsid w:val="00306C05"/>
    <w:rsid w:val="00334381"/>
    <w:rsid w:val="0033763D"/>
    <w:rsid w:val="00354844"/>
    <w:rsid w:val="00357697"/>
    <w:rsid w:val="0037325E"/>
    <w:rsid w:val="00373D19"/>
    <w:rsid w:val="00374A09"/>
    <w:rsid w:val="003A2130"/>
    <w:rsid w:val="003B0B46"/>
    <w:rsid w:val="003B54A4"/>
    <w:rsid w:val="003D3027"/>
    <w:rsid w:val="003E2005"/>
    <w:rsid w:val="003F653B"/>
    <w:rsid w:val="004130AC"/>
    <w:rsid w:val="004148D7"/>
    <w:rsid w:val="00426821"/>
    <w:rsid w:val="004333D0"/>
    <w:rsid w:val="00454032"/>
    <w:rsid w:val="00462AAA"/>
    <w:rsid w:val="00467758"/>
    <w:rsid w:val="00471919"/>
    <w:rsid w:val="004749C4"/>
    <w:rsid w:val="0047627E"/>
    <w:rsid w:val="00483A78"/>
    <w:rsid w:val="004A1652"/>
    <w:rsid w:val="004A3A81"/>
    <w:rsid w:val="004A7A39"/>
    <w:rsid w:val="004B466C"/>
    <w:rsid w:val="004D1244"/>
    <w:rsid w:val="004E2354"/>
    <w:rsid w:val="004F0115"/>
    <w:rsid w:val="004F102B"/>
    <w:rsid w:val="00505DCB"/>
    <w:rsid w:val="005151FD"/>
    <w:rsid w:val="0051780C"/>
    <w:rsid w:val="00520566"/>
    <w:rsid w:val="00522125"/>
    <w:rsid w:val="00531CAE"/>
    <w:rsid w:val="00536806"/>
    <w:rsid w:val="00561D82"/>
    <w:rsid w:val="00562C18"/>
    <w:rsid w:val="00583919"/>
    <w:rsid w:val="0059388D"/>
    <w:rsid w:val="00593FD3"/>
    <w:rsid w:val="005A36D3"/>
    <w:rsid w:val="005D2252"/>
    <w:rsid w:val="005D4FF2"/>
    <w:rsid w:val="006546B6"/>
    <w:rsid w:val="0066786A"/>
    <w:rsid w:val="006C42E3"/>
    <w:rsid w:val="006C4F9E"/>
    <w:rsid w:val="006D4D80"/>
    <w:rsid w:val="006F4936"/>
    <w:rsid w:val="006F5C83"/>
    <w:rsid w:val="00704552"/>
    <w:rsid w:val="00725989"/>
    <w:rsid w:val="007526EC"/>
    <w:rsid w:val="00754F0E"/>
    <w:rsid w:val="00762FA1"/>
    <w:rsid w:val="007736B2"/>
    <w:rsid w:val="007772B2"/>
    <w:rsid w:val="007A762A"/>
    <w:rsid w:val="007E524A"/>
    <w:rsid w:val="007F425A"/>
    <w:rsid w:val="00813C9D"/>
    <w:rsid w:val="008307F7"/>
    <w:rsid w:val="00846473"/>
    <w:rsid w:val="00870182"/>
    <w:rsid w:val="0089440E"/>
    <w:rsid w:val="008B4B79"/>
    <w:rsid w:val="008C6A8F"/>
    <w:rsid w:val="008D03A8"/>
    <w:rsid w:val="008F158D"/>
    <w:rsid w:val="008F5BF8"/>
    <w:rsid w:val="00914770"/>
    <w:rsid w:val="00955A07"/>
    <w:rsid w:val="00956F3E"/>
    <w:rsid w:val="009602CC"/>
    <w:rsid w:val="00991F47"/>
    <w:rsid w:val="009A4BD9"/>
    <w:rsid w:val="009C1AAC"/>
    <w:rsid w:val="009C3D9D"/>
    <w:rsid w:val="009D2E11"/>
    <w:rsid w:val="009E058A"/>
    <w:rsid w:val="009E1430"/>
    <w:rsid w:val="009E481C"/>
    <w:rsid w:val="009E548C"/>
    <w:rsid w:val="009E5BFE"/>
    <w:rsid w:val="009E7B7D"/>
    <w:rsid w:val="00A047FB"/>
    <w:rsid w:val="00A056EF"/>
    <w:rsid w:val="00A14572"/>
    <w:rsid w:val="00A156E9"/>
    <w:rsid w:val="00A2069B"/>
    <w:rsid w:val="00A211DB"/>
    <w:rsid w:val="00A21FB9"/>
    <w:rsid w:val="00A3181C"/>
    <w:rsid w:val="00A32079"/>
    <w:rsid w:val="00A35829"/>
    <w:rsid w:val="00A37D66"/>
    <w:rsid w:val="00A558D9"/>
    <w:rsid w:val="00A60993"/>
    <w:rsid w:val="00A67519"/>
    <w:rsid w:val="00A9793F"/>
    <w:rsid w:val="00AA2B43"/>
    <w:rsid w:val="00AA5081"/>
    <w:rsid w:val="00AA76AF"/>
    <w:rsid w:val="00AD72D9"/>
    <w:rsid w:val="00AE763F"/>
    <w:rsid w:val="00B215D2"/>
    <w:rsid w:val="00B3382F"/>
    <w:rsid w:val="00B4021F"/>
    <w:rsid w:val="00B572CB"/>
    <w:rsid w:val="00BA1591"/>
    <w:rsid w:val="00BA3AB4"/>
    <w:rsid w:val="00BA4A36"/>
    <w:rsid w:val="00BD37D8"/>
    <w:rsid w:val="00BD792B"/>
    <w:rsid w:val="00BE3114"/>
    <w:rsid w:val="00BE5B48"/>
    <w:rsid w:val="00BE6474"/>
    <w:rsid w:val="00BF2751"/>
    <w:rsid w:val="00C12C8D"/>
    <w:rsid w:val="00C326C5"/>
    <w:rsid w:val="00C548DE"/>
    <w:rsid w:val="00C84C02"/>
    <w:rsid w:val="00C94E02"/>
    <w:rsid w:val="00CA52A2"/>
    <w:rsid w:val="00CC2ECA"/>
    <w:rsid w:val="00CE56F1"/>
    <w:rsid w:val="00CF1898"/>
    <w:rsid w:val="00CF62F0"/>
    <w:rsid w:val="00D04DD8"/>
    <w:rsid w:val="00D67F23"/>
    <w:rsid w:val="00D744B3"/>
    <w:rsid w:val="00D77298"/>
    <w:rsid w:val="00DA4B7E"/>
    <w:rsid w:val="00DE5165"/>
    <w:rsid w:val="00DE6066"/>
    <w:rsid w:val="00E00A1F"/>
    <w:rsid w:val="00E31BF2"/>
    <w:rsid w:val="00E35251"/>
    <w:rsid w:val="00E428AC"/>
    <w:rsid w:val="00E53350"/>
    <w:rsid w:val="00E53B83"/>
    <w:rsid w:val="00E66D10"/>
    <w:rsid w:val="00E74E14"/>
    <w:rsid w:val="00EB5122"/>
    <w:rsid w:val="00EC16DC"/>
    <w:rsid w:val="00EC52B3"/>
    <w:rsid w:val="00EC55A0"/>
    <w:rsid w:val="00EF1D94"/>
    <w:rsid w:val="00EF586A"/>
    <w:rsid w:val="00F47ABC"/>
    <w:rsid w:val="00FD3EC7"/>
    <w:rsid w:val="00FD7FBB"/>
    <w:rsid w:val="00FE74C4"/>
    <w:rsid w:val="00FF0937"/>
    <w:rsid w:val="00FF1241"/>
    <w:rsid w:val="00FF2EF6"/>
    <w:rsid w:val="00FF448D"/>
    <w:rsid w:val="00FF6F99"/>
    <w:rsid w:val="24C317CA"/>
    <w:rsid w:val="3F89196A"/>
    <w:rsid w:val="6D9E4B3A"/>
    <w:rsid w:val="7425562B"/>
    <w:rsid w:val="7FB92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4"/>
    <w:semiHidden/>
    <w:unhideWhenUsed/>
    <w:qFormat/>
    <w:uiPriority w:val="99"/>
    <w:pPr>
      <w:ind w:left="100" w:leftChars="2500"/>
    </w:pPr>
  </w:style>
  <w:style w:type="paragraph" w:styleId="4">
    <w:name w:val="Balloon Text"/>
    <w:basedOn w:val="1"/>
    <w:link w:val="15"/>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character" w:styleId="10">
    <w:name w:val="FollowedHyperlink"/>
    <w:basedOn w:val="9"/>
    <w:semiHidden/>
    <w:unhideWhenUsed/>
    <w:qFormat/>
    <w:uiPriority w:val="99"/>
    <w:rPr>
      <w:color w:val="800080" w:themeColor="followedHyperlink"/>
      <w:u w:val="single"/>
    </w:rPr>
  </w:style>
  <w:style w:type="character" w:styleId="11">
    <w:name w:val="Hyperlink"/>
    <w:basedOn w:val="9"/>
    <w:semiHidden/>
    <w:unhideWhenUsed/>
    <w:qFormat/>
    <w:uiPriority w:val="99"/>
    <w:rPr>
      <w:color w:val="864654"/>
      <w:u w:val="single"/>
    </w:rPr>
  </w:style>
  <w:style w:type="character" w:customStyle="1" w:styleId="12">
    <w:name w:val="页眉 字符"/>
    <w:basedOn w:val="9"/>
    <w:link w:val="6"/>
    <w:qFormat/>
    <w:uiPriority w:val="99"/>
    <w:rPr>
      <w:sz w:val="18"/>
      <w:szCs w:val="18"/>
    </w:rPr>
  </w:style>
  <w:style w:type="character" w:customStyle="1" w:styleId="13">
    <w:name w:val="页脚 字符"/>
    <w:basedOn w:val="9"/>
    <w:link w:val="5"/>
    <w:qFormat/>
    <w:uiPriority w:val="99"/>
    <w:rPr>
      <w:sz w:val="18"/>
      <w:szCs w:val="18"/>
    </w:rPr>
  </w:style>
  <w:style w:type="character" w:customStyle="1" w:styleId="14">
    <w:name w:val="日期 字符"/>
    <w:basedOn w:val="9"/>
    <w:link w:val="3"/>
    <w:semiHidden/>
    <w:qFormat/>
    <w:uiPriority w:val="99"/>
  </w:style>
  <w:style w:type="character" w:customStyle="1" w:styleId="15">
    <w:name w:val="批注框文本 字符"/>
    <w:basedOn w:val="9"/>
    <w:link w:val="4"/>
    <w:semiHidden/>
    <w:uiPriority w:val="99"/>
    <w:rPr>
      <w:sz w:val="18"/>
      <w:szCs w:val="18"/>
    </w:rPr>
  </w:style>
  <w:style w:type="paragraph" w:customStyle="1" w:styleId="1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17">
    <w:name w:val="标题 1 字符"/>
    <w:basedOn w:val="9"/>
    <w:link w:val="2"/>
    <w:qFormat/>
    <w:uiPriority w:val="9"/>
    <w:rPr>
      <w:b/>
      <w:bCs/>
      <w:kern w:val="44"/>
      <w:sz w:val="44"/>
      <w:szCs w:val="44"/>
    </w:rPr>
  </w:style>
  <w:style w:type="paragraph" w:styleId="18">
    <w:name w:val="No Spacing"/>
    <w:qFormat/>
    <w:uiPriority w:val="1"/>
    <w:pPr>
      <w:widowControl w:val="0"/>
    </w:pPr>
    <w:rPr>
      <w:rFonts w:ascii="Times New Roman" w:hAnsi="Times New Roman" w:eastAsia="PMingLiU" w:cs="Times New Roman"/>
      <w:kern w:val="2"/>
      <w:sz w:val="24"/>
      <w:szCs w:val="20"/>
      <w:lang w:val="en-US" w:eastAsia="zh-TW" w:bidi="ar-SA"/>
    </w:rPr>
  </w:style>
  <w:style w:type="paragraph" w:customStyle="1" w:styleId="19">
    <w:name w:val="Default"/>
    <w:qFormat/>
    <w:uiPriority w:val="0"/>
    <w:pPr>
      <w:widowControl w:val="0"/>
      <w:autoSpaceDE w:val="0"/>
      <w:autoSpaceDN w:val="0"/>
      <w:adjustRightInd w:val="0"/>
    </w:pPr>
    <w:rPr>
      <w:rFonts w:ascii="仿宋_GB2312" w:eastAsia="仿宋_GB2312" w:cs="仿宋_GB2312" w:hAnsiTheme="minorHAnsi"/>
      <w:color w:val="000000"/>
      <w:kern w:val="0"/>
      <w:sz w:val="24"/>
      <w:szCs w:val="24"/>
      <w:lang w:val="en-US" w:eastAsia="zh-CN" w:bidi="ar-SA"/>
    </w:rPr>
  </w:style>
  <w:style w:type="paragraph" w:styleId="20">
    <w:name w:val="List Paragraph"/>
    <w:basedOn w:val="1"/>
    <w:qFormat/>
    <w:uiPriority w:val="99"/>
    <w:pPr>
      <w:ind w:firstLine="420" w:firstLineChars="200"/>
    </w:pPr>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4078</Words>
  <Characters>4158</Characters>
  <Lines>33</Lines>
  <Paragraphs>9</Paragraphs>
  <TotalTime>36</TotalTime>
  <ScaleCrop>false</ScaleCrop>
  <LinksUpToDate>false</LinksUpToDate>
  <CharactersWithSpaces>4252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2017-10-19T02:39:00Z</dcterms:created>
  <dc:creator>dell</dc:creator>
  <cp:lastModifiedBy>WPS_1670647604</cp:lastModifiedBy>
  <cp:lastPrinted>2022-01-15T08:28:00Z</cp:lastPrinted>
  <dcterms:modified xsi:type="dcterms:W3CDTF">2023-08-25T02:16:03Z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7A2B5909BDE14842A66D93390856CB41_12</vt:lpwstr>
  </property>
</Properties>
</file>